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99" w:rsidRDefault="00885A99" w:rsidP="00885A99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  <w:r w:rsidRPr="00885A99">
        <w:rPr>
          <w:rFonts w:ascii="Arial-BoldMT" w:cs="Arial-BoldMT"/>
          <w:b/>
          <w:bCs/>
          <w:color w:val="000000"/>
          <w:sz w:val="24"/>
          <w:szCs w:val="24"/>
        </w:rPr>
        <w:t>U.S. Dept. of Education College Scorecard Simplified</w:t>
      </w:r>
    </w:p>
    <w:p w:rsidR="00885A99" w:rsidRP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>
        <w:rPr>
          <w:rFonts w:ascii="Arial-BoldMT" w:cs="Arial-BoldMT"/>
          <w:b/>
          <w:bCs/>
          <w:color w:val="000000"/>
          <w:sz w:val="24"/>
          <w:szCs w:val="24"/>
        </w:rPr>
        <w:t xml:space="preserve">Data generated: </w:t>
      </w:r>
      <w:r w:rsidRPr="00885A99">
        <w:rPr>
          <w:rFonts w:ascii="Arial-BoldMT" w:cs="Arial-BoldMT"/>
          <w:bCs/>
          <w:color w:val="000000"/>
          <w:sz w:val="24"/>
          <w:szCs w:val="24"/>
        </w:rPr>
        <w:t>9/13/2016</w:t>
      </w: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>
        <w:rPr>
          <w:rFonts w:ascii="Arial-BoldMT" w:cs="Arial-BoldMT"/>
          <w:b/>
          <w:bCs/>
          <w:color w:val="000000"/>
          <w:sz w:val="24"/>
          <w:szCs w:val="24"/>
        </w:rPr>
        <w:t xml:space="preserve">Rows: </w:t>
      </w:r>
      <w:r w:rsidRPr="00885A99">
        <w:rPr>
          <w:rFonts w:ascii="Arial-BoldMT" w:cs="Arial-BoldMT"/>
          <w:bCs/>
          <w:color w:val="000000"/>
          <w:sz w:val="24"/>
          <w:szCs w:val="24"/>
        </w:rPr>
        <w:t>7,805, including column headers</w:t>
      </w: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>
        <w:rPr>
          <w:rFonts w:ascii="Arial-BoldMT" w:cs="Arial-BoldMT"/>
          <w:b/>
          <w:bCs/>
          <w:color w:val="000000"/>
          <w:sz w:val="24"/>
          <w:szCs w:val="24"/>
        </w:rPr>
        <w:t xml:space="preserve">Columns: </w:t>
      </w:r>
      <w:r w:rsidRPr="00885A99">
        <w:rPr>
          <w:rFonts w:ascii="Arial-BoldMT" w:cs="Arial-BoldMT"/>
          <w:bCs/>
          <w:color w:val="000000"/>
          <w:sz w:val="24"/>
          <w:szCs w:val="24"/>
        </w:rPr>
        <w:t>80</w:t>
      </w:r>
    </w:p>
    <w:p w:rsidR="007B509C" w:rsidRDefault="007B509C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7B509C">
        <w:rPr>
          <w:rFonts w:ascii="Arial-BoldMT" w:cs="Arial-BoldMT"/>
          <w:b/>
          <w:bCs/>
          <w:color w:val="000000"/>
          <w:sz w:val="24"/>
          <w:szCs w:val="24"/>
        </w:rPr>
        <w:t>Data:</w:t>
      </w:r>
      <w:r>
        <w:rPr>
          <w:rFonts w:ascii="Arial-BoldMT" w:cs="Arial-BoldMT"/>
          <w:bCs/>
          <w:color w:val="000000"/>
          <w:sz w:val="24"/>
          <w:szCs w:val="24"/>
        </w:rPr>
        <w:t xml:space="preserve"> </w:t>
      </w:r>
      <w:r w:rsidRPr="00885A99">
        <w:rPr>
          <w:rFonts w:ascii="Arial-BoldMT" w:cs="Arial-BoldMT"/>
          <w:bCs/>
          <w:color w:val="000000"/>
          <w:sz w:val="24"/>
          <w:szCs w:val="24"/>
        </w:rPr>
        <w:t>College_Scorecard_Simplified.csv</w:t>
      </w:r>
      <w:r>
        <w:rPr>
          <w:rFonts w:ascii="Arial-BoldMT" w:cs="Arial-BoldMT"/>
          <w:bCs/>
          <w:color w:val="000000"/>
          <w:sz w:val="24"/>
          <w:szCs w:val="24"/>
        </w:rPr>
        <w:t xml:space="preserve"> (comma-delimited text file)</w:t>
      </w: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7B509C" w:rsidP="00A90E3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>
        <w:rPr>
          <w:rFonts w:ascii="Arial-BoldMT" w:cs="Arial-BoldMT"/>
          <w:bCs/>
          <w:color w:val="000000"/>
          <w:sz w:val="24"/>
          <w:szCs w:val="24"/>
        </w:rPr>
        <w:t xml:space="preserve">NICAR offers this </w:t>
      </w:r>
      <w:r w:rsidR="00885A99" w:rsidRPr="00885A99">
        <w:rPr>
          <w:rFonts w:ascii="Arial-BoldMT" w:cs="Arial-BoldMT"/>
          <w:bCs/>
          <w:color w:val="000000"/>
          <w:sz w:val="24"/>
          <w:szCs w:val="24"/>
        </w:rPr>
        <w:t>simpl</w:t>
      </w:r>
      <w:r>
        <w:rPr>
          <w:rFonts w:ascii="Arial-BoldMT" w:cs="Arial-BoldMT"/>
          <w:bCs/>
          <w:color w:val="000000"/>
          <w:sz w:val="24"/>
          <w:szCs w:val="24"/>
        </w:rPr>
        <w:t>i</w:t>
      </w:r>
      <w:r w:rsidR="00885A99" w:rsidRPr="00885A99">
        <w:rPr>
          <w:rFonts w:ascii="Arial-BoldMT" w:cs="Arial-BoldMT"/>
          <w:bCs/>
          <w:color w:val="000000"/>
          <w:sz w:val="24"/>
          <w:szCs w:val="24"/>
        </w:rPr>
        <w:t>fied version of the federal government's College Scorecard database, which has more than 1,700 columns.</w:t>
      </w:r>
      <w:r>
        <w:rPr>
          <w:rFonts w:ascii="Arial-BoldMT" w:cs="Arial-BoldMT"/>
          <w:bCs/>
          <w:color w:val="000000"/>
          <w:sz w:val="24"/>
          <w:szCs w:val="24"/>
        </w:rPr>
        <w:t xml:space="preserve"> </w:t>
      </w:r>
      <w:r w:rsidR="00885A99" w:rsidRPr="00885A99">
        <w:rPr>
          <w:rFonts w:ascii="Arial-BoldMT" w:cs="Arial-BoldMT"/>
          <w:bCs/>
          <w:color w:val="000000"/>
          <w:sz w:val="24"/>
          <w:szCs w:val="24"/>
        </w:rPr>
        <w:t>This file is a guide to the data and other documentation.</w:t>
      </w:r>
    </w:p>
    <w:p w:rsidR="00A90E36" w:rsidRPr="00885A99" w:rsidRDefault="00A90E36" w:rsidP="00885A99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Pr="00885A99" w:rsidRDefault="00885A99" w:rsidP="00885A99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885A99">
        <w:rPr>
          <w:rFonts w:ascii="Arial-BoldMT" w:cs="Arial-BoldMT"/>
          <w:bCs/>
          <w:color w:val="000000"/>
          <w:sz w:val="24"/>
          <w:szCs w:val="24"/>
        </w:rPr>
        <w:t>Along with the data, you should also have received the following documentation:</w:t>
      </w:r>
    </w:p>
    <w:p w:rsidR="00885A99" w:rsidRPr="000A6530" w:rsidRDefault="00885A99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readme.docx: this overview file created by NICAR</w:t>
      </w:r>
    </w:p>
    <w:p w:rsidR="00885A99" w:rsidRPr="000A6530" w:rsidRDefault="00885A99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NICAR_Scorecard_Caveats.docx: created by NICAR</w:t>
      </w:r>
    </w:p>
    <w:p w:rsidR="00A90E36" w:rsidRPr="000A6530" w:rsidRDefault="00A90E36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NICAR_scorecard_dictionary.xlsx: created by NICAR</w:t>
      </w:r>
    </w:p>
    <w:p w:rsidR="00885A99" w:rsidRPr="000A6530" w:rsidRDefault="00885A99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FullDataDocumentation.pdf: from the U.S. Dept. of Education</w:t>
      </w:r>
    </w:p>
    <w:p w:rsidR="00885A99" w:rsidRPr="000A6530" w:rsidRDefault="00885A99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policy_paper.pdf: from the U.S. Dept. of Education</w:t>
      </w:r>
    </w:p>
    <w:p w:rsidR="00885A99" w:rsidRPr="000A6530" w:rsidRDefault="00885A99" w:rsidP="000A6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  <w:r w:rsidRPr="000A6530">
        <w:rPr>
          <w:rFonts w:ascii="Arial-BoldMT" w:cs="Arial-BoldMT"/>
          <w:bCs/>
          <w:color w:val="000000"/>
          <w:sz w:val="24"/>
          <w:szCs w:val="24"/>
        </w:rPr>
        <w:t>technical_paper.pdf: from the White House</w:t>
      </w:r>
    </w:p>
    <w:p w:rsidR="00885A99" w:rsidRPr="00885A99" w:rsidRDefault="00885A99" w:rsidP="00885A99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Pr="00885A99" w:rsidRDefault="00885A99" w:rsidP="000A653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 w:rsidRPr="00885A99">
        <w:rPr>
          <w:rFonts w:ascii="Arial-BoldMT" w:cs="Arial-BoldMT"/>
          <w:bCs/>
          <w:color w:val="000000"/>
          <w:sz w:val="24"/>
          <w:szCs w:val="24"/>
        </w:rPr>
        <w:t>The data have received a minimum of processing to help ensure integrity. NICAR performed a variety of checks to confirm that no errors were introduced in processing the data; however, this does not mean that the data are error-free. For example:</w:t>
      </w:r>
    </w:p>
    <w:p w:rsidR="000A6530" w:rsidRDefault="000A6530" w:rsidP="00885A99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Pr="000A6530" w:rsidRDefault="000A6530" w:rsidP="000A65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>
        <w:rPr>
          <w:rFonts w:ascii="Arial-BoldMT" w:cs="Arial-BoldMT"/>
          <w:bCs/>
          <w:color w:val="000000"/>
          <w:sz w:val="24"/>
          <w:szCs w:val="24"/>
        </w:rPr>
        <w:t>Four</w:t>
      </w:r>
      <w:r w:rsidR="00885A99" w:rsidRPr="000A6530">
        <w:rPr>
          <w:rFonts w:ascii="Arial-BoldMT" w:cs="Arial-BoldMT"/>
          <w:bCs/>
          <w:color w:val="000000"/>
          <w:sz w:val="24"/>
          <w:szCs w:val="24"/>
        </w:rPr>
        <w:t xml:space="preserve"> schools reported their students had $0 median family income reported in the median_family_income field. These are mostly professional and career schools.</w:t>
      </w:r>
    </w:p>
    <w:p w:rsidR="00885A99" w:rsidRPr="00885A99" w:rsidRDefault="00885A99" w:rsidP="000A653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Pr="000A6530" w:rsidRDefault="000A6530" w:rsidP="000A65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>
        <w:rPr>
          <w:rFonts w:ascii="Arial-BoldMT" w:cs="Arial-BoldMT"/>
          <w:bCs/>
          <w:color w:val="000000"/>
          <w:sz w:val="24"/>
          <w:szCs w:val="24"/>
        </w:rPr>
        <w:t xml:space="preserve">Seventy-one </w:t>
      </w:r>
      <w:r w:rsidR="00885A99" w:rsidRPr="000A6530">
        <w:rPr>
          <w:rFonts w:ascii="Arial-BoldMT" w:cs="Arial-BoldMT"/>
          <w:bCs/>
          <w:color w:val="000000"/>
          <w:sz w:val="24"/>
          <w:szCs w:val="24"/>
        </w:rPr>
        <w:t>schools reported a 0 percent retention in the retention field.</w:t>
      </w:r>
    </w:p>
    <w:p w:rsidR="00885A99" w:rsidRPr="00885A99" w:rsidRDefault="00885A99" w:rsidP="000A653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885A99" w:rsidP="00B3656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 w:rsidRPr="00885A99">
        <w:rPr>
          <w:rFonts w:ascii="Arial-BoldMT" w:cs="Arial-BoldMT"/>
          <w:bCs/>
          <w:color w:val="000000"/>
          <w:sz w:val="24"/>
          <w:szCs w:val="24"/>
        </w:rPr>
        <w:t>NICAR recommends that you contact the educati</w:t>
      </w:r>
      <w:r w:rsidR="00C23878">
        <w:rPr>
          <w:rFonts w:ascii="Arial-BoldMT" w:cs="Arial-BoldMT"/>
          <w:bCs/>
          <w:color w:val="000000"/>
          <w:sz w:val="24"/>
          <w:szCs w:val="24"/>
        </w:rPr>
        <w:t xml:space="preserve">on department or the schools to determine </w:t>
      </w:r>
      <w:r w:rsidRPr="00885A99">
        <w:rPr>
          <w:rFonts w:ascii="Arial-BoldMT" w:cs="Arial-BoldMT"/>
          <w:bCs/>
          <w:color w:val="000000"/>
          <w:sz w:val="24"/>
          <w:szCs w:val="24"/>
        </w:rPr>
        <w:t>reasons for any suspicious data.</w:t>
      </w:r>
    </w:p>
    <w:p w:rsidR="00B36562" w:rsidRPr="00885A99" w:rsidRDefault="00B36562" w:rsidP="00B3656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Pr="00885A99" w:rsidRDefault="00885A99" w:rsidP="006F226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000000"/>
          <w:sz w:val="24"/>
          <w:szCs w:val="24"/>
        </w:rPr>
      </w:pPr>
      <w:r w:rsidRPr="00885A99">
        <w:rPr>
          <w:rFonts w:ascii="Arial-BoldMT" w:cs="Arial-BoldMT"/>
          <w:bCs/>
          <w:color w:val="000000"/>
          <w:sz w:val="24"/>
          <w:szCs w:val="24"/>
        </w:rPr>
        <w:t xml:space="preserve">NICAR recommends that, before working with the data, you read the documentation, which may answer many of your questions. </w:t>
      </w: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885A99" w:rsidRDefault="00885A99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Cs/>
          <w:color w:val="000000"/>
          <w:sz w:val="24"/>
          <w:szCs w:val="24"/>
        </w:rPr>
      </w:pPr>
    </w:p>
    <w:p w:rsidR="007C11B1" w:rsidRPr="008C2370" w:rsidRDefault="007C11B1" w:rsidP="007C11B1">
      <w:pPr>
        <w:autoSpaceDE w:val="0"/>
        <w:autoSpaceDN w:val="0"/>
        <w:adjustRightInd w:val="0"/>
        <w:spacing w:after="0" w:line="360" w:lineRule="auto"/>
        <w:rPr>
          <w:rStyle w:val="Hyperlink"/>
          <w:rFonts w:ascii="ArialMT" w:cs="ArialMT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lastRenderedPageBreak/>
        <w:t xml:space="preserve">Earlier this year, for the first time ever, the </w:t>
      </w:r>
      <w:r w:rsidR="008C2370">
        <w:rPr>
          <w:rFonts w:ascii="ArialMT" w:cs="ArialMT"/>
          <w:color w:val="1155CD"/>
          <w:sz w:val="24"/>
          <w:szCs w:val="24"/>
        </w:rPr>
        <w:fldChar w:fldCharType="begin"/>
      </w:r>
      <w:r w:rsidR="008C2370">
        <w:rPr>
          <w:rFonts w:ascii="ArialMT" w:cs="ArialMT"/>
          <w:color w:val="1155CD"/>
          <w:sz w:val="24"/>
          <w:szCs w:val="24"/>
        </w:rPr>
        <w:instrText xml:space="preserve"> HYPERLINK "https://collegescorecard.ed.gov/data/" </w:instrText>
      </w:r>
      <w:r w:rsidR="008C2370">
        <w:rPr>
          <w:rFonts w:ascii="ArialMT" w:cs="ArialMT"/>
          <w:color w:val="1155CD"/>
          <w:sz w:val="24"/>
          <w:szCs w:val="24"/>
        </w:rPr>
        <w:fldChar w:fldCharType="separate"/>
      </w:r>
      <w:r w:rsidRPr="008C2370">
        <w:rPr>
          <w:rStyle w:val="Hyperlink"/>
          <w:rFonts w:ascii="ArialMT" w:cs="ArialMT"/>
          <w:sz w:val="24"/>
          <w:szCs w:val="24"/>
        </w:rPr>
        <w:t>Obama Administration released a comprehensive</w:t>
      </w:r>
    </w:p>
    <w:p w:rsidR="007C11B1" w:rsidRPr="00E657D0" w:rsidRDefault="00916375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Style w:val="Hyperlink"/>
          <w:rFonts w:ascii="ArialMT" w:cs="ArialMT"/>
          <w:sz w:val="24"/>
          <w:szCs w:val="24"/>
        </w:rPr>
        <w:t>collection</w:t>
      </w:r>
      <w:r w:rsidR="007C11B1" w:rsidRPr="008C2370">
        <w:rPr>
          <w:rStyle w:val="Hyperlink"/>
          <w:rFonts w:ascii="ArialMT" w:cs="ArialMT"/>
          <w:sz w:val="24"/>
          <w:szCs w:val="24"/>
        </w:rPr>
        <w:t xml:space="preserve"> of student population</w:t>
      </w:r>
      <w:r w:rsidR="008C2370">
        <w:rPr>
          <w:rFonts w:ascii="ArialMT" w:cs="ArialMT"/>
          <w:color w:val="1155CD"/>
          <w:sz w:val="24"/>
          <w:szCs w:val="24"/>
        </w:rPr>
        <w:fldChar w:fldCharType="end"/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, college performance and 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“</w:t>
      </w:r>
      <w:r w:rsidR="007C11B1" w:rsidRPr="00E657D0">
        <w:rPr>
          <w:rFonts w:ascii="ArialMT" w:cs="ArialMT"/>
          <w:color w:val="000000"/>
          <w:sz w:val="24"/>
          <w:szCs w:val="24"/>
        </w:rPr>
        <w:t>outcome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”</w:t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 data, measuring with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precise detail who gets into what school and what they do after graduation. But the Department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of Education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s raw </w:t>
      </w:r>
      <w:r w:rsidRPr="00E657D0">
        <w:rPr>
          <w:rFonts w:ascii="ArialMT" w:cs="ArialMT" w:hint="cs"/>
          <w:color w:val="000000"/>
          <w:sz w:val="24"/>
          <w:szCs w:val="24"/>
        </w:rPr>
        <w:t>“</w:t>
      </w:r>
      <w:r w:rsidRPr="00E657D0">
        <w:rPr>
          <w:rFonts w:ascii="ArialMT" w:cs="ArialMT"/>
          <w:color w:val="000000"/>
          <w:sz w:val="24"/>
          <w:szCs w:val="24"/>
        </w:rPr>
        <w:t>College Scorecard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  <w:r w:rsidRPr="00E657D0">
        <w:rPr>
          <w:rFonts w:ascii="ArialMT" w:cs="ArialMT"/>
          <w:color w:val="000000"/>
          <w:sz w:val="24"/>
          <w:szCs w:val="24"/>
        </w:rPr>
        <w:t xml:space="preserve"> is a labyrinth of information covering some 7,800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campuses all over the country. The original data was really wide, more than 1,700 columns from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three main sources: an annual survey collected by the Department of Education (IPEDS), the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national student loan database (NSLDS), and administrative earnings data from tax records.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Using the data, newsrooms can track and compare schools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 accessibility across different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income levels alongside performance metrics and ultimate outcomes. Many schools all over the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country are under budget constraints, so understanding how appropriations have impacted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students can paint a vivid picture in your city or state. The Scorecard also provides insight into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the world of private </w:t>
      </w:r>
      <w:r w:rsidR="00916375" w:rsidRPr="00E657D0">
        <w:rPr>
          <w:rFonts w:ascii="ArialMT" w:cs="ArialMT"/>
          <w:color w:val="000000"/>
          <w:sz w:val="24"/>
          <w:szCs w:val="24"/>
        </w:rPr>
        <w:t>for-profit</w:t>
      </w:r>
      <w:r w:rsidRPr="00E657D0">
        <w:rPr>
          <w:rFonts w:ascii="ArialMT" w:cs="ArialMT"/>
          <w:color w:val="000000"/>
          <w:sz w:val="24"/>
          <w:szCs w:val="24"/>
        </w:rPr>
        <w:t xml:space="preserve"> colleges, which have sprung up in cities and online across the country. Most importantly, the data covers all federal grant and loan recipients, so reporters can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now measure the effectiveness of government aid across different types of students and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schools.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The original purpose of the dataset, its creators say in the documentation, is to allow students to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make school to school comparisons so they can decide what institution best fits them and their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individual goals. It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also meant to help regulators assess accessibility and outcomes. The idea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being that you could make some conclusions about a school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performance based what types of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students come in and what they do after they leave. But those conclusions come with caveats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and disclaimers (read, warnings), which need to be considered before during your analysis.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Please see the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NICAR Caveat Guide </w:t>
      </w:r>
      <w:r w:rsidRPr="00E657D0">
        <w:rPr>
          <w:rFonts w:ascii="ArialMT" w:cs="ArialMT"/>
          <w:color w:val="000000"/>
          <w:sz w:val="24"/>
          <w:szCs w:val="24"/>
        </w:rPr>
        <w:t>for more information.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It helps to think of the NICAR College Scorecard data in three general groups, which get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progressively granular in their data.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1. Colleges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2. Students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3. Outcomes</w:t>
      </w:r>
    </w:p>
    <w:p w:rsidR="00ED6A34" w:rsidRDefault="00ED6A34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lastRenderedPageBreak/>
        <w:t>I. Colleges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Keep in mind these basic but important categorical distinctions in this data slice. If this was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data on football, these columns would show you things like teams, leagues, conferences, and</w:t>
      </w:r>
    </w:p>
    <w:p w:rsidR="00ED6A34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divisions. They describe and define each school.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1. There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s an important distinction between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UNITID </w:t>
      </w:r>
      <w:r w:rsidRPr="00E657D0">
        <w:rPr>
          <w:rFonts w:ascii="ArialMT" w:cs="ArialMT"/>
          <w:color w:val="000000"/>
          <w:sz w:val="24"/>
          <w:szCs w:val="24"/>
        </w:rPr>
        <w:t xml:space="preserve">and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OPEID, </w:t>
      </w:r>
      <w:r w:rsidRPr="00E657D0">
        <w:rPr>
          <w:rFonts w:ascii="ArialMT" w:cs="ArialMT"/>
          <w:color w:val="000000"/>
          <w:sz w:val="24"/>
          <w:szCs w:val="24"/>
        </w:rPr>
        <w:t>the data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two unique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identifiers for each college. The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Data Documentation </w:t>
      </w:r>
      <w:r w:rsidRPr="00E657D0">
        <w:rPr>
          <w:rFonts w:ascii="ArialMT" w:cs="ArialMT"/>
          <w:color w:val="000000"/>
          <w:sz w:val="24"/>
          <w:szCs w:val="24"/>
        </w:rPr>
        <w:t xml:space="preserve">and the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NICAR Caveat Guide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outline exactly what you need to know. But basically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UNITID </w:t>
      </w:r>
      <w:r w:rsidRPr="00E657D0">
        <w:rPr>
          <w:rFonts w:ascii="ArialMT" w:cs="ArialMT"/>
          <w:color w:val="000000"/>
          <w:sz w:val="24"/>
          <w:szCs w:val="24"/>
        </w:rPr>
        <w:t>is specific to each campus,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while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OPEID </w:t>
      </w:r>
      <w:r w:rsidRPr="00E657D0">
        <w:rPr>
          <w:rFonts w:ascii="ArialMT" w:cs="ArialMT"/>
          <w:color w:val="000000"/>
          <w:sz w:val="24"/>
          <w:szCs w:val="24"/>
        </w:rPr>
        <w:t>bundles branch campuses together under the umbrella of its flagship/main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campus.</w:t>
      </w:r>
      <w:r w:rsidR="009C079D">
        <w:rPr>
          <w:rStyle w:val="FootnoteReference"/>
          <w:rFonts w:ascii="ArialMT" w:cs="ArialMT"/>
          <w:color w:val="000000"/>
          <w:sz w:val="24"/>
          <w:szCs w:val="24"/>
        </w:rPr>
        <w:footnoteReference w:id="1"/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2.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Type: </w:t>
      </w:r>
      <w:r w:rsidRPr="00E657D0">
        <w:rPr>
          <w:rFonts w:ascii="ArialMT" w:cs="ArialMT"/>
          <w:color w:val="000000"/>
          <w:sz w:val="24"/>
          <w:szCs w:val="24"/>
        </w:rPr>
        <w:t>Public, Private Non-Profit and Private For-Profit.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3.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Degree: </w:t>
      </w:r>
      <w:r w:rsidRPr="00E657D0">
        <w:rPr>
          <w:rFonts w:ascii="ArialMT" w:cs="ArialMT"/>
          <w:color w:val="000000"/>
          <w:sz w:val="24"/>
          <w:szCs w:val="24"/>
        </w:rPr>
        <w:t>Associate, Certificate and Bachelors. (Note: This is not the highest degree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awarded, but the most predominant one.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See page 3 of the Data Documentation </w:t>
      </w:r>
      <w:r w:rsidRPr="00E657D0">
        <w:rPr>
          <w:rFonts w:ascii="ArialMT" w:cs="ArialMT"/>
          <w:color w:val="000000"/>
          <w:sz w:val="24"/>
          <w:szCs w:val="24"/>
        </w:rPr>
        <w:t>.) The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associate degrees are usually for two year programs, many community colleges, which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has an effect on outcome measures.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4. There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s the typical location stuff: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city, state and region </w:t>
      </w:r>
      <w:r w:rsidRPr="00E657D0">
        <w:rPr>
          <w:rFonts w:ascii="ArialMT" w:cs="ArialMT"/>
          <w:color w:val="000000"/>
          <w:sz w:val="24"/>
          <w:szCs w:val="24"/>
        </w:rPr>
        <w:t xml:space="preserve">(check the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Data Dictionary </w:t>
      </w:r>
      <w:r w:rsidRPr="00E657D0">
        <w:rPr>
          <w:rFonts w:ascii="ArialMT" w:cs="ArialMT"/>
          <w:color w:val="000000"/>
          <w:sz w:val="24"/>
          <w:szCs w:val="24"/>
        </w:rPr>
        <w:t>to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see what states belong in what region). You can use that to easily localize your story.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5. Campus: </w:t>
      </w:r>
      <w:r w:rsidRPr="00E657D0">
        <w:rPr>
          <w:rFonts w:ascii="ArialMT" w:cs="ArialMT"/>
          <w:color w:val="000000"/>
          <w:sz w:val="24"/>
          <w:szCs w:val="24"/>
        </w:rPr>
        <w:t>Is it the main campus or a branch? There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an important caveat with branches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in this data, explained in the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NICAR Caveat Guide and page 28 of the Technical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Paper.</w:t>
      </w:r>
    </w:p>
    <w:p w:rsidR="008C2370" w:rsidRPr="00E657D0" w:rsidRDefault="008C2370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II. Students</w:t>
      </w:r>
    </w:p>
    <w:p w:rsidR="008C2370" w:rsidRPr="00E657D0" w:rsidRDefault="008C2370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Then there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the more specific demographic data for the schools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 student population. A lot of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this is based on survey responses collected from the Department of Education. (Note: these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columns are different and separate from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outcome </w:t>
      </w:r>
      <w:r w:rsidRPr="00E657D0">
        <w:rPr>
          <w:rFonts w:ascii="ArialMT" w:cs="ArialMT"/>
          <w:color w:val="000000"/>
          <w:sz w:val="24"/>
          <w:szCs w:val="24"/>
        </w:rPr>
        <w:t>data, which we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ll do next.) If 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ll buy the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lastRenderedPageBreak/>
        <w:t>football metaphor, think of these columns as individual teams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="00734D67">
        <w:rPr>
          <w:rFonts w:ascii="ArialMT" w:cs="ArialMT"/>
          <w:color w:val="000000"/>
          <w:sz w:val="24"/>
          <w:szCs w:val="24"/>
        </w:rPr>
        <w:t xml:space="preserve"> roster information not </w:t>
      </w:r>
      <w:r w:rsidRPr="00E657D0">
        <w:rPr>
          <w:rFonts w:ascii="ArialMT" w:cs="ArialMT"/>
          <w:color w:val="000000"/>
          <w:sz w:val="24"/>
          <w:szCs w:val="24"/>
        </w:rPr>
        <w:t>their performance measures. However, these columns are crucial when looking at outcomes and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building ratios.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1. Enrollment size (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undergrad_enrollment </w:t>
      </w:r>
      <w:r w:rsidRPr="00E657D0">
        <w:rPr>
          <w:rFonts w:ascii="ArialMT" w:cs="ArialMT"/>
          <w:color w:val="000000"/>
          <w:sz w:val="24"/>
          <w:szCs w:val="24"/>
        </w:rPr>
        <w:t>), w</w:t>
      </w:r>
      <w:r w:rsidR="00734D67">
        <w:rPr>
          <w:rFonts w:ascii="ArialMT" w:cs="ArialMT"/>
          <w:color w:val="000000"/>
          <w:sz w:val="24"/>
          <w:szCs w:val="24"/>
        </w:rPr>
        <w:t xml:space="preserve">hich is then broken out by some </w:t>
      </w:r>
      <w:r w:rsidRPr="00E657D0">
        <w:rPr>
          <w:rFonts w:ascii="ArialMT" w:cs="ArialMT"/>
          <w:color w:val="000000"/>
          <w:sz w:val="24"/>
          <w:szCs w:val="24"/>
        </w:rPr>
        <w:t>demographic information: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a. Race (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percentage_white, percentage_black, percentage_asian, etc. </w:t>
      </w:r>
      <w:r w:rsidRPr="00E657D0">
        <w:rPr>
          <w:rFonts w:ascii="ArialMT" w:cs="ArialMT"/>
          <w:color w:val="000000"/>
          <w:sz w:val="24"/>
          <w:szCs w:val="24"/>
        </w:rPr>
        <w:t>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b. Test scores (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ACT_median, SAT_average)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2. How many are they accepting?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Admission_rate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3. Economic status of the entire student body: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a.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median_family_income,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b.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pell_recipients, fed_loan_recipients, </w:t>
      </w:r>
      <w:r w:rsidRPr="00E657D0">
        <w:rPr>
          <w:rFonts w:ascii="ArialMT" w:cs="ArialMT"/>
          <w:color w:val="000000"/>
          <w:sz w:val="24"/>
          <w:szCs w:val="24"/>
        </w:rPr>
        <w:t xml:space="preserve">which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percentages of the student body </w:t>
      </w:r>
      <w:r w:rsidRPr="00E657D0">
        <w:rPr>
          <w:rFonts w:ascii="ArialMT" w:cs="ArialMT"/>
          <w:color w:val="000000"/>
          <w:sz w:val="24"/>
          <w:szCs w:val="24"/>
        </w:rPr>
        <w:t xml:space="preserve">are receiving which type of Title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IV Aid. (Likewise, we also give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population_recieving_loan, population_recieving_pell,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for these and a few </w:t>
      </w:r>
      <w:r w:rsidRPr="00E657D0">
        <w:rPr>
          <w:rFonts w:ascii="ArialMT" w:cs="ArialMT"/>
          <w:color w:val="000000"/>
          <w:sz w:val="24"/>
          <w:szCs w:val="24"/>
        </w:rPr>
        <w:t>other measures, showing the number count of students in each category.)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4. Affordability and price. Here we give tuition (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instate_tuition, outofstate_tuition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),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attendance_cost </w:t>
      </w:r>
      <w:r w:rsidRPr="00E657D0">
        <w:rPr>
          <w:rFonts w:ascii="ArialMT" w:cs="ArialMT"/>
          <w:color w:val="000000"/>
          <w:sz w:val="24"/>
          <w:szCs w:val="24"/>
        </w:rPr>
        <w:t xml:space="preserve">, and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avg_net_price </w:t>
      </w:r>
      <w:r w:rsidRPr="00E657D0">
        <w:rPr>
          <w:rFonts w:ascii="ArialMT" w:cs="ArialMT"/>
          <w:color w:val="000000"/>
          <w:sz w:val="24"/>
          <w:szCs w:val="24"/>
        </w:rPr>
        <w:t>, which is the most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accurate of the three. Average </w:t>
      </w:r>
      <w:r w:rsidRPr="00E657D0">
        <w:rPr>
          <w:rFonts w:ascii="ArialMT" w:cs="ArialMT"/>
          <w:color w:val="000000"/>
          <w:sz w:val="24"/>
          <w:szCs w:val="24"/>
        </w:rPr>
        <w:t>net price includes the full cost of attendance (including tuiti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on and fees, books and </w:t>
      </w:r>
      <w:r w:rsidRPr="00E657D0">
        <w:rPr>
          <w:rFonts w:ascii="ArialMT" w:cs="ArialMT"/>
          <w:color w:val="000000"/>
          <w:sz w:val="24"/>
          <w:szCs w:val="24"/>
        </w:rPr>
        <w:t>supplies, and living expenses) minus federal, state, and insti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tutional aid cumulative for all </w:t>
      </w:r>
      <w:r w:rsidRPr="00E657D0">
        <w:rPr>
          <w:rFonts w:ascii="ArialMT" w:cs="ArialMT"/>
          <w:color w:val="000000"/>
          <w:sz w:val="24"/>
          <w:szCs w:val="24"/>
        </w:rPr>
        <w:t>students.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a. Importantly, price is also broken out b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y income bracket quartiles five different </w:t>
      </w:r>
      <w:r w:rsidRPr="00E657D0">
        <w:rPr>
          <w:rFonts w:ascii="ArialMT" w:cs="ArialMT"/>
          <w:color w:val="000000"/>
          <w:sz w:val="24"/>
          <w:szCs w:val="24"/>
        </w:rPr>
        <w:t>columns that show how the real price of attend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ing school differs depending on </w:t>
      </w:r>
      <w:r w:rsidRPr="00E657D0">
        <w:rPr>
          <w:rFonts w:ascii="ArialMT" w:cs="ArialMT"/>
          <w:color w:val="000000"/>
          <w:sz w:val="24"/>
          <w:szCs w:val="24"/>
        </w:rPr>
        <w:t xml:space="preserve">family income. (See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page 11 of the Technical Paper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for more on net price </w:t>
      </w:r>
      <w:r w:rsidRPr="00E657D0">
        <w:rPr>
          <w:rFonts w:ascii="ArialMT" w:cs="ArialMT"/>
          <w:color w:val="000000"/>
          <w:sz w:val="24"/>
          <w:szCs w:val="24"/>
        </w:rPr>
        <w:t>calculations.)</w:t>
      </w:r>
    </w:p>
    <w:p w:rsidR="008C237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5.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Debt </w:t>
      </w:r>
      <w:r w:rsidRPr="00E657D0">
        <w:rPr>
          <w:rFonts w:ascii="ArialMT" w:cs="ArialMT"/>
          <w:color w:val="000000"/>
          <w:sz w:val="24"/>
          <w:szCs w:val="24"/>
        </w:rPr>
        <w:t>: The median debt accrued by students, broken out by income bracket.</w:t>
      </w:r>
    </w:p>
    <w:p w:rsidR="008C2370" w:rsidRPr="00E657D0" w:rsidRDefault="008C237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III. Outcomes</w:t>
      </w:r>
    </w:p>
    <w:p w:rsidR="008C2370" w:rsidRPr="00E657D0" w:rsidRDefault="008C2370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This data is like individual player stats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 on each football team.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Gathered largely by tax records </w:t>
      </w:r>
      <w:r w:rsidRPr="00E657D0">
        <w:rPr>
          <w:rFonts w:ascii="ArialMT" w:cs="ArialMT"/>
          <w:color w:val="000000"/>
          <w:sz w:val="24"/>
          <w:szCs w:val="24"/>
        </w:rPr>
        <w:t>and the student loan database, the outcome measures aim to quantify students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performance, </w:t>
      </w:r>
      <w:r w:rsidRPr="00E657D0">
        <w:rPr>
          <w:rFonts w:ascii="ArialMT" w:cs="ArialMT"/>
          <w:color w:val="000000"/>
          <w:sz w:val="24"/>
          <w:szCs w:val="24"/>
        </w:rPr>
        <w:t>and thus, the schools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1.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Completion_Rate </w:t>
      </w:r>
      <w:r w:rsidRPr="00E657D0">
        <w:rPr>
          <w:rFonts w:ascii="ArialMT" w:cs="ArialMT"/>
          <w:color w:val="000000"/>
          <w:sz w:val="24"/>
          <w:szCs w:val="24"/>
        </w:rPr>
        <w:t>measures what percentage of stu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dents graduate within six years </w:t>
      </w:r>
      <w:r w:rsidRPr="00E657D0">
        <w:rPr>
          <w:rFonts w:ascii="ArialMT" w:cs="ArialMT"/>
          <w:color w:val="000000"/>
          <w:sz w:val="24"/>
          <w:szCs w:val="24"/>
        </w:rPr>
        <w:t>(thre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 years, for two-year </w:t>
      </w:r>
      <w:r w:rsidRPr="00E657D0">
        <w:rPr>
          <w:rFonts w:ascii="ArialMT" w:cs="ArialMT"/>
          <w:color w:val="000000"/>
          <w:sz w:val="24"/>
          <w:szCs w:val="24"/>
        </w:rPr>
        <w:t>institutions) of starting at a sch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ool. This data is broken out by </w:t>
      </w:r>
      <w:r w:rsidRPr="00E657D0">
        <w:rPr>
          <w:rFonts w:ascii="ArialMT" w:cs="ArialMT"/>
          <w:color w:val="000000"/>
          <w:sz w:val="24"/>
          <w:szCs w:val="24"/>
        </w:rPr>
        <w:t xml:space="preserve">race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(for four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lastRenderedPageBreak/>
        <w:t xml:space="preserve">year institutions only </w:t>
      </w:r>
      <w:r w:rsidRPr="00E657D0">
        <w:rPr>
          <w:rFonts w:ascii="ArialMT" w:cs="ArialMT"/>
          <w:color w:val="000000"/>
          <w:sz w:val="24"/>
          <w:szCs w:val="24"/>
        </w:rPr>
        <w:t>) but not incom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 brackets because of reporting </w:t>
      </w:r>
      <w:r w:rsidRPr="00E657D0">
        <w:rPr>
          <w:rFonts w:ascii="ArialMT" w:cs="ArialMT"/>
          <w:color w:val="000000"/>
          <w:sz w:val="24"/>
          <w:szCs w:val="24"/>
        </w:rPr>
        <w:t>errors with the NLSDS completion data.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a. Important: </w:t>
      </w:r>
      <w:r w:rsidRPr="00E657D0">
        <w:rPr>
          <w:rFonts w:ascii="ArialMT" w:cs="ArialMT"/>
          <w:color w:val="000000"/>
          <w:sz w:val="24"/>
          <w:szCs w:val="24"/>
        </w:rPr>
        <w:t>See the caveat guides for the lim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itations in completion data for </w:t>
      </w:r>
      <w:r w:rsidRPr="00E657D0">
        <w:rPr>
          <w:rFonts w:ascii="ArialMT" w:cs="ArialMT"/>
          <w:color w:val="000000"/>
          <w:sz w:val="24"/>
          <w:szCs w:val="24"/>
        </w:rPr>
        <w:t>non</w:t>
      </w:r>
      <w:r w:rsidR="00190F9A" w:rsidRPr="00E657D0">
        <w:rPr>
          <w:rFonts w:ascii="ArialMT" w:cs="ArialMT"/>
          <w:color w:val="000000"/>
          <w:sz w:val="24"/>
          <w:szCs w:val="24"/>
        </w:rPr>
        <w:t>-</w:t>
      </w:r>
      <w:r w:rsidRPr="00E657D0">
        <w:rPr>
          <w:rFonts w:ascii="ArialMT" w:cs="ArialMT"/>
          <w:color w:val="000000"/>
          <w:sz w:val="24"/>
          <w:szCs w:val="24"/>
        </w:rPr>
        <w:t>four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-year </w:t>
      </w:r>
      <w:r w:rsidRPr="00E657D0">
        <w:rPr>
          <w:rFonts w:ascii="ArialMT" w:cs="ArialMT"/>
          <w:color w:val="000000"/>
          <w:sz w:val="24"/>
          <w:szCs w:val="24"/>
        </w:rPr>
        <w:t>institutions.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2. Repayment_Rate </w:t>
      </w:r>
      <w:r w:rsidRPr="00E657D0">
        <w:rPr>
          <w:rFonts w:ascii="ArialMT" w:cs="ArialMT"/>
          <w:color w:val="000000"/>
          <w:sz w:val="24"/>
          <w:szCs w:val="24"/>
        </w:rPr>
        <w:t>is reported six years after students began attending schools.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Repayment is broken out across students who gr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aduated, did not graduate, Pell </w:t>
      </w:r>
      <w:r w:rsidRPr="00E657D0">
        <w:rPr>
          <w:rFonts w:ascii="ArialMT" w:cs="ArialMT"/>
          <w:color w:val="000000"/>
          <w:sz w:val="24"/>
          <w:szCs w:val="24"/>
        </w:rPr>
        <w:t>Recipients, not Pell recipients (which is a proxy for f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ederal loan recipients), family </w:t>
      </w:r>
      <w:r w:rsidRPr="00E657D0">
        <w:rPr>
          <w:rFonts w:ascii="ArialMT" w:cs="ArialMT"/>
          <w:color w:val="000000"/>
          <w:sz w:val="24"/>
          <w:szCs w:val="24"/>
        </w:rPr>
        <w:t xml:space="preserve">income level, and whether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or not they are first-generation </w:t>
      </w:r>
      <w:r w:rsidRPr="00E657D0">
        <w:rPr>
          <w:rFonts w:ascii="ArialMT" w:cs="ArialMT"/>
          <w:color w:val="000000"/>
          <w:sz w:val="24"/>
          <w:szCs w:val="24"/>
        </w:rPr>
        <w:t>college students.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3.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Median_earnings </w:t>
      </w:r>
      <w:r w:rsidRPr="00E657D0">
        <w:rPr>
          <w:rFonts w:ascii="ArialMT" w:cs="ArialMT"/>
          <w:color w:val="000000"/>
          <w:sz w:val="24"/>
          <w:szCs w:val="24"/>
        </w:rPr>
        <w:t xml:space="preserve">measured 10 years after entering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school and broken out by income </w:t>
      </w:r>
      <w:r w:rsidRPr="00E657D0">
        <w:rPr>
          <w:rFonts w:ascii="ArialMT" w:cs="ArialMT"/>
          <w:color w:val="000000"/>
          <w:sz w:val="24"/>
          <w:szCs w:val="24"/>
        </w:rPr>
        <w:t xml:space="preserve">bracket terciles. (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Important </w:t>
      </w:r>
      <w:r w:rsidRPr="00E657D0">
        <w:rPr>
          <w:rFonts w:ascii="ArialMT" w:cs="ArialMT"/>
          <w:color w:val="000000"/>
          <w:sz w:val="24"/>
          <w:szCs w:val="24"/>
        </w:rPr>
        <w:t>: note these income br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acket terciles are not the same </w:t>
      </w:r>
      <w:r w:rsidRPr="00E657D0">
        <w:rPr>
          <w:rFonts w:ascii="ArialMT" w:cs="ArialMT"/>
          <w:color w:val="000000"/>
          <w:sz w:val="24"/>
          <w:szCs w:val="24"/>
        </w:rPr>
        <w:t>quartiles as used in some other measurements, so direct ratios will be less exact.)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a.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Earning_above_threshold </w:t>
      </w:r>
      <w:r w:rsidRPr="00E657D0">
        <w:rPr>
          <w:rFonts w:ascii="ArialMT" w:cs="ArialMT"/>
          <w:color w:val="000000"/>
          <w:sz w:val="24"/>
          <w:szCs w:val="24"/>
        </w:rPr>
        <w:t>: is the rate of stu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dents earning above the $25,000 </w:t>
      </w:r>
      <w:r w:rsidRPr="00E657D0">
        <w:rPr>
          <w:rFonts w:ascii="ArialMT" w:cs="ArialMT"/>
          <w:color w:val="000000"/>
          <w:sz w:val="24"/>
          <w:szCs w:val="24"/>
        </w:rPr>
        <w:t>threshold, which was chosen since it approximately corresponds to the median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>wage of workers</w:t>
      </w:r>
      <w:r w:rsidR="007056A9">
        <w:rPr>
          <w:rFonts w:ascii="ArialMT" w:cs="ArialMT"/>
          <w:color w:val="000000"/>
          <w:sz w:val="24"/>
          <w:szCs w:val="24"/>
        </w:rPr>
        <w:t xml:space="preserve"> age 25 to 34 with a high-school </w:t>
      </w:r>
      <w:r w:rsidRPr="00E657D0">
        <w:rPr>
          <w:rFonts w:ascii="ArialMT" w:cs="ArialMT"/>
          <w:color w:val="000000"/>
          <w:sz w:val="24"/>
          <w:szCs w:val="24"/>
        </w:rPr>
        <w:t>degree only.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>Steps for Analysis</w:t>
      </w:r>
    </w:p>
    <w:p w:rsidR="007C11B1" w:rsidRPr="00330671" w:rsidRDefault="00330671" w:rsidP="0033067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1155CD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1. </w:t>
      </w:r>
      <w:r w:rsidR="007C11B1" w:rsidRPr="00330671">
        <w:rPr>
          <w:rFonts w:ascii="ArialMT" w:cs="ArialMT"/>
          <w:color w:val="000000"/>
          <w:sz w:val="24"/>
          <w:szCs w:val="24"/>
        </w:rPr>
        <w:t>First, read what other stories have been done using the scorecard data. We</w:t>
      </w:r>
      <w:r w:rsidR="007C11B1" w:rsidRPr="00330671">
        <w:rPr>
          <w:rFonts w:ascii="ArialMT" w:cs="ArialMT" w:hint="cs"/>
          <w:color w:val="000000"/>
          <w:sz w:val="24"/>
          <w:szCs w:val="24"/>
        </w:rPr>
        <w:t>’</w:t>
      </w:r>
      <w:r w:rsidR="00190F9A" w:rsidRPr="00330671">
        <w:rPr>
          <w:rFonts w:ascii="ArialMT" w:cs="ArialMT"/>
          <w:color w:val="000000"/>
          <w:sz w:val="24"/>
          <w:szCs w:val="24"/>
        </w:rPr>
        <w:t xml:space="preserve">d </w:t>
      </w:r>
      <w:r w:rsidR="007C11B1" w:rsidRPr="00330671">
        <w:rPr>
          <w:rFonts w:ascii="ArialMT" w:cs="ArialMT"/>
          <w:color w:val="000000"/>
          <w:sz w:val="24"/>
          <w:szCs w:val="24"/>
        </w:rPr>
        <w:t xml:space="preserve">recommend </w:t>
      </w:r>
      <w:hyperlink r:id="rId8" w:history="1">
        <w:r w:rsidR="007C11B1" w:rsidRPr="00330671">
          <w:rPr>
            <w:rStyle w:val="Hyperlink"/>
            <w:rFonts w:ascii="ArialMT" w:cs="ArialMT"/>
            <w:sz w:val="24"/>
            <w:szCs w:val="24"/>
          </w:rPr>
          <w:t>ProPublica</w:t>
        </w:r>
        <w:r w:rsidR="007C11B1" w:rsidRPr="00330671">
          <w:rPr>
            <w:rStyle w:val="Hyperlink"/>
            <w:rFonts w:ascii="ArialMT" w:cs="ArialMT" w:hint="cs"/>
            <w:sz w:val="24"/>
            <w:szCs w:val="24"/>
          </w:rPr>
          <w:t>’</w:t>
        </w:r>
        <w:r w:rsidR="007C11B1" w:rsidRPr="00330671">
          <w:rPr>
            <w:rStyle w:val="Hyperlink"/>
            <w:rFonts w:ascii="ArialMT" w:cs="ArialMT"/>
            <w:sz w:val="24"/>
            <w:szCs w:val="24"/>
          </w:rPr>
          <w:t>s</w:t>
        </w:r>
      </w:hyperlink>
      <w:r w:rsidR="007C11B1" w:rsidRPr="00330671">
        <w:rPr>
          <w:rFonts w:ascii="ArialMT" w:cs="ArialMT"/>
          <w:color w:val="1155CD"/>
          <w:sz w:val="24"/>
          <w:szCs w:val="24"/>
        </w:rPr>
        <w:t xml:space="preserve"> </w:t>
      </w:r>
      <w:r w:rsidR="007C11B1" w:rsidRPr="00330671">
        <w:rPr>
          <w:rFonts w:ascii="ArialMT" w:cs="ArialMT"/>
          <w:color w:val="000000"/>
          <w:sz w:val="24"/>
          <w:szCs w:val="24"/>
        </w:rPr>
        <w:t xml:space="preserve">and the </w:t>
      </w:r>
      <w:hyperlink r:id="rId9" w:history="1">
        <w:r w:rsidR="007C11B1" w:rsidRPr="00330671">
          <w:rPr>
            <w:rStyle w:val="Hyperlink"/>
            <w:rFonts w:ascii="ArialMT" w:cs="ArialMT"/>
            <w:sz w:val="24"/>
            <w:szCs w:val="24"/>
          </w:rPr>
          <w:t>Wall Street Journal</w:t>
        </w:r>
        <w:r w:rsidR="007C11B1" w:rsidRPr="00330671">
          <w:rPr>
            <w:rStyle w:val="Hyperlink"/>
            <w:rFonts w:ascii="ArialMT" w:cs="ArialMT" w:hint="cs"/>
            <w:sz w:val="24"/>
            <w:szCs w:val="24"/>
          </w:rPr>
          <w:t>’</w:t>
        </w:r>
        <w:r w:rsidR="007C11B1" w:rsidRPr="00330671">
          <w:rPr>
            <w:rStyle w:val="Hyperlink"/>
            <w:rFonts w:ascii="ArialMT" w:cs="ArialMT"/>
            <w:sz w:val="24"/>
            <w:szCs w:val="24"/>
          </w:rPr>
          <w:t>s coverage</w:t>
        </w:r>
      </w:hyperlink>
      <w:r w:rsidR="00E657D0" w:rsidRPr="00330671">
        <w:rPr>
          <w:rFonts w:ascii="ArialMT" w:cs="ArialMT"/>
          <w:color w:val="1155CD"/>
          <w:sz w:val="24"/>
          <w:szCs w:val="24"/>
        </w:rPr>
        <w:t>.</w:t>
      </w:r>
    </w:p>
    <w:p w:rsidR="00330671" w:rsidRPr="00330671" w:rsidRDefault="00330671" w:rsidP="0033067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2. Before you start tackling the data, make sure again</w:t>
      </w:r>
    </w:p>
    <w:p w:rsidR="007C11B1" w:rsidRPr="00E657D0" w:rsidRDefault="00190F9A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That </w:t>
      </w:r>
      <w:r w:rsidR="007C11B1" w:rsidRPr="00E657D0">
        <w:rPr>
          <w:rFonts w:ascii="ArialMT" w:cs="ArialMT"/>
          <w:color w:val="000000"/>
          <w:sz w:val="24"/>
          <w:szCs w:val="24"/>
        </w:rPr>
        <w:t>you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ve read over the </w:t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documentation. For good points of comparison and </w:t>
      </w:r>
      <w:r w:rsidRPr="00E657D0">
        <w:rPr>
          <w:rFonts w:ascii="ArialMT" w:cs="ArialMT"/>
          <w:color w:val="000000"/>
          <w:sz w:val="24"/>
          <w:szCs w:val="24"/>
        </w:rPr>
        <w:t xml:space="preserve">for context and possible trends </w:t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within the data, refer to the </w:t>
      </w:r>
      <w:r w:rsidR="007C11B1"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technical </w:t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and </w:t>
      </w:r>
      <w:r w:rsidR="00CB1E0F">
        <w:rPr>
          <w:rFonts w:ascii="Arial-BoldMT" w:cs="Arial-BoldMT"/>
          <w:b/>
          <w:bCs/>
          <w:color w:val="000000"/>
          <w:sz w:val="24"/>
          <w:szCs w:val="24"/>
        </w:rPr>
        <w:t>policy papers</w:t>
      </w:r>
      <w:r w:rsidR="007C11B1" w:rsidRPr="00E657D0">
        <w:rPr>
          <w:rFonts w:ascii="ArialMT" w:cs="ArialMT"/>
          <w:color w:val="000000"/>
          <w:sz w:val="24"/>
          <w:szCs w:val="24"/>
        </w:rPr>
        <w:t>. They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re full of useful </w:t>
      </w:r>
      <w:r w:rsidR="007C11B1" w:rsidRPr="00E657D0">
        <w:rPr>
          <w:rFonts w:ascii="ArialMT" w:cs="ArialMT"/>
          <w:color w:val="000000"/>
          <w:sz w:val="24"/>
          <w:szCs w:val="24"/>
        </w:rPr>
        <w:t>information for how your city, state or reporting area might figure in nationally.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Some examples from the documentation: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 w:hint="cs"/>
          <w:color w:val="000000"/>
          <w:sz w:val="24"/>
          <w:szCs w:val="24"/>
        </w:rPr>
        <w:t>“</w:t>
      </w:r>
      <w:r w:rsidRPr="00E657D0">
        <w:rPr>
          <w:rFonts w:ascii="ArialMT" w:cs="ArialMT"/>
          <w:color w:val="000000"/>
          <w:sz w:val="24"/>
          <w:szCs w:val="24"/>
        </w:rPr>
        <w:t>A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mong the 10 percent of four-year </w:t>
      </w:r>
      <w:r w:rsidRPr="00E657D0">
        <w:rPr>
          <w:rFonts w:ascii="ArialMT" w:cs="ArialMT"/>
          <w:color w:val="000000"/>
          <w:sz w:val="24"/>
          <w:szCs w:val="24"/>
        </w:rPr>
        <w:t>schools with the lowest earnings, more than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t</w:t>
      </w:r>
      <w:r w:rsidRPr="00E657D0">
        <w:rPr>
          <w:rFonts w:ascii="ArialMT" w:cs="ArialMT"/>
          <w:color w:val="000000"/>
          <w:sz w:val="24"/>
          <w:szCs w:val="24"/>
        </w:rPr>
        <w:t>wo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-thirds </w:t>
      </w:r>
      <w:r w:rsidRPr="00E657D0">
        <w:rPr>
          <w:rFonts w:ascii="ArialMT" w:cs="ArialMT"/>
          <w:color w:val="000000"/>
          <w:sz w:val="24"/>
          <w:szCs w:val="24"/>
        </w:rPr>
        <w:t>of students are from families with inc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omes below $30,000, whereas, in the top 10 percent of four-year </w:t>
      </w:r>
      <w:r w:rsidRPr="00E657D0">
        <w:rPr>
          <w:rFonts w:ascii="ArialMT" w:cs="ArialMT"/>
          <w:color w:val="000000"/>
          <w:sz w:val="24"/>
          <w:szCs w:val="24"/>
        </w:rPr>
        <w:t>institutions, 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early the opposite is true with </w:t>
      </w:r>
      <w:r w:rsidRPr="00E657D0">
        <w:rPr>
          <w:rFonts w:ascii="ArialMT" w:cs="ArialMT"/>
          <w:color w:val="000000"/>
          <w:sz w:val="24"/>
          <w:szCs w:val="24"/>
        </w:rPr>
        <w:t>roughly one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-third </w:t>
      </w:r>
      <w:r w:rsidRPr="00E657D0">
        <w:rPr>
          <w:rFonts w:ascii="ArialMT" w:cs="ArialMT"/>
          <w:color w:val="000000"/>
          <w:sz w:val="24"/>
          <w:szCs w:val="24"/>
        </w:rPr>
        <w:t>of low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-income </w:t>
      </w:r>
      <w:r w:rsidRPr="00E657D0">
        <w:rPr>
          <w:rFonts w:ascii="ArialMT" w:cs="ArialMT"/>
          <w:color w:val="000000"/>
          <w:sz w:val="24"/>
          <w:szCs w:val="24"/>
        </w:rPr>
        <w:t>students. This gi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ves the impression that factors </w:t>
      </w:r>
      <w:r w:rsidRPr="00E657D0">
        <w:rPr>
          <w:rFonts w:ascii="ArialMT" w:cs="ArialMT"/>
          <w:color w:val="000000"/>
          <w:sz w:val="24"/>
          <w:szCs w:val="24"/>
        </w:rPr>
        <w:t>associated with family income differences may b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 partially responsible for the </w:t>
      </w:r>
      <w:r w:rsidRPr="00E657D0">
        <w:rPr>
          <w:rFonts w:ascii="ArialMT" w:cs="ArialMT"/>
          <w:color w:val="000000"/>
          <w:sz w:val="24"/>
          <w:szCs w:val="24"/>
        </w:rPr>
        <w:t>differences in student outcomes across these institutions.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  <w:r w:rsidRPr="00E657D0">
        <w:rPr>
          <w:rFonts w:ascii="ArialMT" w:cs="ArialMT"/>
          <w:color w:val="000000"/>
          <w:sz w:val="24"/>
          <w:szCs w:val="24"/>
        </w:rPr>
        <w:t xml:space="preserve"> (Technical Paper 46)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 w:hint="cs"/>
          <w:color w:val="000000"/>
          <w:sz w:val="24"/>
          <w:szCs w:val="24"/>
        </w:rPr>
        <w:t>“</w:t>
      </w:r>
      <w:r w:rsidRPr="00E657D0">
        <w:rPr>
          <w:rFonts w:ascii="ArialMT" w:cs="ArialMT"/>
          <w:color w:val="000000"/>
          <w:sz w:val="24"/>
          <w:szCs w:val="24"/>
        </w:rPr>
        <w:t>At 53 percent of institutions, more than half of a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lumni are not even earning more </w:t>
      </w:r>
      <w:r w:rsidRPr="00E657D0">
        <w:rPr>
          <w:rFonts w:ascii="ArialMT" w:cs="ArialMT"/>
          <w:color w:val="000000"/>
          <w:sz w:val="24"/>
          <w:szCs w:val="24"/>
        </w:rPr>
        <w:t>than a typical high school graduate within six years after starting at the school.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  <w:r w:rsidRPr="00E657D0">
        <w:rPr>
          <w:rFonts w:ascii="ArialMT" w:cs="ArialMT"/>
          <w:color w:val="000000"/>
          <w:sz w:val="24"/>
          <w:szCs w:val="24"/>
        </w:rPr>
        <w:t>(Policy Paper 15)</w:t>
      </w:r>
    </w:p>
    <w:p w:rsidR="00330671" w:rsidRPr="00E657D0" w:rsidRDefault="0033067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3. The first thing you should do when starting with the data is narrow down which columns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re definitely not interested in, and make a copy of the data without including those</w:t>
      </w:r>
    </w:p>
    <w:p w:rsidR="007C11B1" w:rsidRPr="00E657D0" w:rsidRDefault="007A2BAA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>columns. At 80</w:t>
      </w:r>
      <w:r w:rsidR="007C11B1" w:rsidRPr="00E657D0">
        <w:rPr>
          <w:rFonts w:ascii="ArialMT" w:cs="ArialMT"/>
          <w:color w:val="000000"/>
          <w:sz w:val="24"/>
          <w:szCs w:val="24"/>
        </w:rPr>
        <w:t xml:space="preserve"> variables wide, the NICAR Scorecard Data is substantially more </w:t>
      </w:r>
      <w:r w:rsidR="00916375">
        <w:rPr>
          <w:rFonts w:ascii="ArialMT" w:cs="ArialMT"/>
          <w:color w:val="000000"/>
          <w:sz w:val="24"/>
          <w:szCs w:val="24"/>
        </w:rPr>
        <w:t>manageable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than the raw form from the Department of Education. Still, 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ll have an easier time if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you analyze step</w:t>
      </w:r>
      <w:r w:rsidR="00190F9A" w:rsidRPr="00E657D0">
        <w:rPr>
          <w:rFonts w:ascii="ArialMT" w:cs="ArialMT"/>
          <w:color w:val="000000"/>
          <w:sz w:val="24"/>
          <w:szCs w:val="24"/>
        </w:rPr>
        <w:t>-</w:t>
      </w:r>
      <w:r w:rsidRPr="00E657D0">
        <w:rPr>
          <w:rFonts w:ascii="ArialMT" w:cs="ArialMT"/>
          <w:color w:val="000000"/>
          <w:sz w:val="24"/>
          <w:szCs w:val="24"/>
        </w:rPr>
        <w:t>by</w:t>
      </w:r>
      <w:r w:rsidR="00190F9A" w:rsidRPr="00E657D0">
        <w:rPr>
          <w:rFonts w:ascii="ArialMT" w:cs="ArialMT"/>
          <w:color w:val="000000"/>
          <w:sz w:val="24"/>
          <w:szCs w:val="24"/>
        </w:rPr>
        <w:t>-</w:t>
      </w:r>
      <w:r w:rsidRPr="00E657D0">
        <w:rPr>
          <w:rFonts w:ascii="ArialMT" w:cs="ArialMT"/>
          <w:color w:val="000000"/>
          <w:sz w:val="24"/>
          <w:szCs w:val="24"/>
        </w:rPr>
        <w:t>step.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For instance, it may make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sense to pick just one outcome </w:t>
      </w:r>
      <w:r w:rsidRPr="00E657D0">
        <w:rPr>
          <w:rFonts w:ascii="ArialMT" w:cs="ArialMT"/>
          <w:color w:val="000000"/>
          <w:sz w:val="24"/>
          <w:szCs w:val="24"/>
        </w:rPr>
        <w:t>measure at first, and see how different students or types of schools stack up against on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 </w:t>
      </w:r>
      <w:r w:rsidRPr="00E657D0">
        <w:rPr>
          <w:rFonts w:ascii="ArialMT" w:cs="ArialMT"/>
          <w:color w:val="000000"/>
          <w:sz w:val="24"/>
          <w:szCs w:val="24"/>
        </w:rPr>
        <w:t>another.</w:t>
      </w:r>
    </w:p>
    <w:p w:rsidR="00330671" w:rsidRPr="00E657D0" w:rsidRDefault="0033067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4. Annie Waldman, an education reporter at ProPublica, s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aid she starts developing story </w:t>
      </w:r>
      <w:r w:rsidRPr="00E657D0">
        <w:rPr>
          <w:rFonts w:ascii="ArialMT" w:cs="ArialMT"/>
          <w:color w:val="000000"/>
          <w:sz w:val="24"/>
          <w:szCs w:val="24"/>
        </w:rPr>
        <w:t>ideas at this early stage by running a summary an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alysis on the columns that most </w:t>
      </w:r>
      <w:r w:rsidRPr="00E657D0">
        <w:rPr>
          <w:rFonts w:ascii="ArialMT" w:cs="ArialMT"/>
          <w:color w:val="000000"/>
          <w:sz w:val="24"/>
          <w:szCs w:val="24"/>
        </w:rPr>
        <w:t>interest her. In knowing the mean, median, highs, lows and quartiles of each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numeric </w:t>
      </w:r>
      <w:r w:rsidRPr="00E657D0">
        <w:rPr>
          <w:rFonts w:ascii="ArialMT" w:cs="ArialMT"/>
          <w:color w:val="000000"/>
          <w:sz w:val="24"/>
          <w:szCs w:val="24"/>
        </w:rPr>
        <w:t>field, you can start developing some empiric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al statements about some of the </w:t>
      </w:r>
      <w:r w:rsidRPr="00E657D0">
        <w:rPr>
          <w:rFonts w:ascii="ArialMT" w:cs="ArialMT"/>
          <w:color w:val="000000"/>
          <w:sz w:val="24"/>
          <w:szCs w:val="24"/>
        </w:rPr>
        <w:t>demographics represented in the columns.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In Excel, that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s: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=average(x:y)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=median(x:y)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=max(x:y)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=min(x:y)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=quartile(x:y)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=quartile(x:y)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=quartile(x:y)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>=quartile(x:y)</w:t>
      </w:r>
    </w:p>
    <w:p w:rsidR="00330671" w:rsidRPr="00E657D0" w:rsidRDefault="00330671" w:rsidP="007C11B1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5. After running each field 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re interested in, write a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sentence or two about what you </w:t>
      </w:r>
      <w:r w:rsidRPr="00E657D0">
        <w:rPr>
          <w:rFonts w:ascii="ArialMT" w:cs="ArialMT"/>
          <w:color w:val="000000"/>
          <w:sz w:val="24"/>
          <w:szCs w:val="24"/>
        </w:rPr>
        <w:t xml:space="preserve">might be able to conclude from further analysis. How do 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the median test scores stack up </w:t>
      </w:r>
      <w:r w:rsidRPr="00E657D0">
        <w:rPr>
          <w:rFonts w:ascii="ArialMT" w:cs="ArialMT"/>
          <w:color w:val="000000"/>
          <w:sz w:val="24"/>
          <w:szCs w:val="24"/>
        </w:rPr>
        <w:t>in the for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-profit </w:t>
      </w:r>
      <w:r w:rsidRPr="00E657D0">
        <w:rPr>
          <w:rFonts w:ascii="ArialMT" w:cs="ArialMT"/>
          <w:color w:val="000000"/>
          <w:sz w:val="24"/>
          <w:szCs w:val="24"/>
        </w:rPr>
        <w:t>privat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 schools versus the nonprofit? </w:t>
      </w:r>
      <w:r w:rsidRPr="00E657D0">
        <w:rPr>
          <w:rFonts w:ascii="ArialMT" w:cs="ArialMT"/>
          <w:color w:val="000000"/>
          <w:sz w:val="24"/>
          <w:szCs w:val="24"/>
        </w:rPr>
        <w:t>How do students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 xml:space="preserve"> repayment rates</w:t>
      </w:r>
      <w:r w:rsidR="00F83EC0">
        <w:rPr>
          <w:rStyle w:val="FootnoteReference"/>
          <w:rFonts w:ascii="ArialMT" w:cs="ArialMT"/>
          <w:color w:val="000000"/>
          <w:sz w:val="24"/>
          <w:szCs w:val="24"/>
        </w:rPr>
        <w:footnoteReference w:id="2"/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 xml:space="preserve">compare at small </w:t>
      </w:r>
      <w:r w:rsidRPr="00E657D0">
        <w:rPr>
          <w:rFonts w:ascii="ArialMT" w:cs="ArialMT"/>
          <w:color w:val="000000"/>
          <w:sz w:val="24"/>
          <w:szCs w:val="24"/>
        </w:rPr>
        <w:lastRenderedPageBreak/>
        <w:t>colleges versus the big university in your city? And those of the Pell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>recipients versus those who didn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t receive one? 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ll probably come up with more </w:t>
      </w:r>
      <w:r w:rsidRPr="00E657D0">
        <w:rPr>
          <w:rFonts w:ascii="ArialMT" w:cs="ArialMT"/>
          <w:color w:val="000000"/>
          <w:sz w:val="24"/>
          <w:szCs w:val="24"/>
        </w:rPr>
        <w:t>questions than 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ll answer, but simply understanding the summary facts about ea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ch </w:t>
      </w:r>
      <w:r w:rsidRPr="00E657D0">
        <w:rPr>
          <w:rFonts w:ascii="ArialMT" w:cs="ArialMT"/>
          <w:color w:val="000000"/>
          <w:sz w:val="24"/>
          <w:szCs w:val="24"/>
        </w:rPr>
        <w:t>field will help you start.</w:t>
      </w:r>
    </w:p>
    <w:p w:rsidR="00330671" w:rsidRPr="00E657D0" w:rsidRDefault="0033067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6. Next you should parse what general observations you just made. As noted in the </w:t>
      </w:r>
      <w:r w:rsidR="00190F9A"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NICAR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Caveat Guide </w:t>
      </w:r>
      <w:r w:rsidRPr="00E657D0">
        <w:rPr>
          <w:rFonts w:ascii="ArialMT" w:cs="ArialMT"/>
          <w:color w:val="000000"/>
          <w:sz w:val="24"/>
          <w:szCs w:val="24"/>
        </w:rPr>
        <w:t>, any sort of statements made in broad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strokes has to be taken with a </w:t>
      </w:r>
      <w:r w:rsidRPr="00E657D0">
        <w:rPr>
          <w:rFonts w:ascii="ArialMT" w:cs="ArialMT"/>
          <w:color w:val="000000"/>
          <w:sz w:val="24"/>
          <w:szCs w:val="24"/>
        </w:rPr>
        <w:t>grain of salt. So a good way to take your analysis to the next level is to filter the outcome</w:t>
      </w:r>
      <w:r w:rsidR="00190F9A"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>data for specific types of schools, sizes, geographic loc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ations, degrees awarded, or any </w:t>
      </w:r>
      <w:r w:rsidRPr="00E657D0">
        <w:rPr>
          <w:rFonts w:ascii="ArialMT" w:cs="ArialMT"/>
          <w:color w:val="000000"/>
          <w:sz w:val="24"/>
          <w:szCs w:val="24"/>
        </w:rPr>
        <w:t>of the other categorical data you might be able to use to group certain schools together.</w:t>
      </w:r>
      <w:r w:rsidR="00E657D0">
        <w:rPr>
          <w:rFonts w:ascii="ArialMT" w:cs="ArialMT"/>
          <w:color w:val="000000"/>
          <w:sz w:val="24"/>
          <w:szCs w:val="24"/>
        </w:rP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>You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ll need a database manager such as MySQL, Access or SQLite.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Here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 an example of the type of script you might run to see how students at the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m</w:t>
      </w:r>
      <w:r w:rsidRPr="00E657D0">
        <w:rPr>
          <w:rFonts w:ascii="ArialMT" w:cs="ArialMT"/>
          <w:color w:val="000000"/>
          <w:sz w:val="24"/>
          <w:szCs w:val="24"/>
        </w:rPr>
        <w:t>edium</w:t>
      </w:r>
      <w:r w:rsidR="00190F9A" w:rsidRPr="00E657D0">
        <w:rPr>
          <w:rFonts w:ascii="ArialMT" w:cs="ArialMT"/>
          <w:color w:val="000000"/>
          <w:sz w:val="24"/>
          <w:szCs w:val="24"/>
        </w:rPr>
        <w:t>-</w:t>
      </w:r>
      <w:r w:rsidRPr="00E657D0">
        <w:rPr>
          <w:rFonts w:ascii="ArialMT" w:cs="ArialMT"/>
          <w:color w:val="000000"/>
          <w:sz w:val="24"/>
          <w:szCs w:val="24"/>
        </w:rPr>
        <w:t>to</w:t>
      </w:r>
      <w:r w:rsidR="00190F9A" w:rsidRPr="00E657D0">
        <w:rPr>
          <w:rFonts w:ascii="ArialMT" w:cs="ArialMT"/>
          <w:color w:val="000000"/>
          <w:sz w:val="24"/>
          <w:szCs w:val="24"/>
        </w:rPr>
        <w:t>-</w:t>
      </w:r>
      <w:r w:rsidRPr="00E657D0">
        <w:rPr>
          <w:rFonts w:ascii="ArialMT" w:cs="ArialMT"/>
          <w:color w:val="000000"/>
          <w:sz w:val="24"/>
          <w:szCs w:val="24"/>
        </w:rPr>
        <w:t>large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public colleges in Texas repay the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ir loans, how their debt levels </w:t>
      </w:r>
      <w:r w:rsidRPr="00E657D0">
        <w:rPr>
          <w:rFonts w:ascii="ArialMT" w:cs="ArialMT"/>
          <w:color w:val="000000"/>
          <w:sz w:val="24"/>
          <w:szCs w:val="24"/>
        </w:rPr>
        <w:t>compare, as well as the initial price it cost to attend broken out by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 different income </w:t>
      </w:r>
      <w:r w:rsidRPr="00E657D0">
        <w:rPr>
          <w:rFonts w:ascii="ArialMT" w:cs="ArialMT"/>
          <w:color w:val="000000"/>
          <w:sz w:val="24"/>
          <w:szCs w:val="24"/>
        </w:rPr>
        <w:t>brackets: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SELECT </w:t>
      </w:r>
      <w:r w:rsidRPr="00E657D0">
        <w:rPr>
          <w:rFonts w:ascii="ArialMT" w:cs="ArialMT"/>
          <w:color w:val="000000"/>
          <w:sz w:val="24"/>
          <w:szCs w:val="24"/>
        </w:rPr>
        <w:t>UNITID, INSTNM, undergrad_enrollmen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t, state, region, type, degree, </w:t>
      </w:r>
      <w:r w:rsidRPr="00E657D0">
        <w:rPr>
          <w:rFonts w:ascii="ArialMT" w:cs="ArialMT"/>
          <w:color w:val="000000"/>
          <w:sz w:val="24"/>
          <w:szCs w:val="24"/>
        </w:rPr>
        <w:t>campus, branches, median_family_i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ncome, first_bracket_net_price, </w:t>
      </w:r>
      <w:r w:rsidRPr="00E657D0">
        <w:rPr>
          <w:rFonts w:ascii="ArialMT" w:cs="ArialMT"/>
          <w:color w:val="000000"/>
          <w:sz w:val="24"/>
          <w:szCs w:val="24"/>
        </w:rPr>
        <w:t>second_bracket_net_price, third_bracket_net_p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rice, fourth_bracket_net_price, </w:t>
      </w:r>
      <w:r w:rsidRPr="00E657D0">
        <w:rPr>
          <w:rFonts w:ascii="ArialMT" w:cs="ArialMT"/>
          <w:color w:val="000000"/>
          <w:sz w:val="24"/>
          <w:szCs w:val="24"/>
        </w:rPr>
        <w:t>fifth_bracket_net_price, rep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ayment_rate_nonpell_recipients, </w:t>
      </w:r>
      <w:r w:rsidRPr="00E657D0">
        <w:rPr>
          <w:rFonts w:ascii="ArialMT" w:cs="ArialMT"/>
          <w:color w:val="000000"/>
          <w:sz w:val="24"/>
          <w:szCs w:val="24"/>
        </w:rPr>
        <w:t>repayment_rate_pell_recipi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ents, repayment_rate_lowincome, </w:t>
      </w:r>
      <w:r w:rsidRPr="00E657D0">
        <w:rPr>
          <w:rFonts w:ascii="ArialMT" w:cs="ArialMT"/>
          <w:color w:val="000000"/>
          <w:sz w:val="24"/>
          <w:szCs w:val="24"/>
        </w:rPr>
        <w:t>repayment_rate_midincome, repayment_rate_highincome,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FROM </w:t>
      </w:r>
      <w:r w:rsidRPr="00E657D0">
        <w:rPr>
          <w:rFonts w:ascii="ArialMT" w:cs="ArialMT"/>
          <w:color w:val="000000"/>
          <w:sz w:val="24"/>
          <w:szCs w:val="24"/>
        </w:rPr>
        <w:t>NICARscorecard2016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WHERE </w:t>
      </w:r>
      <w:r w:rsidRPr="00E657D0">
        <w:rPr>
          <w:rFonts w:ascii="ArialMT" w:cs="ArialMT"/>
          <w:color w:val="000000"/>
          <w:sz w:val="24"/>
          <w:szCs w:val="24"/>
        </w:rPr>
        <w:t>state= "TX", undergrad_enrollment &gt;= 2000, type=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  <w:r w:rsidRPr="00E657D0">
        <w:rPr>
          <w:rFonts w:ascii="ArialMT" w:cs="ArialMT"/>
          <w:color w:val="000000"/>
          <w:sz w:val="24"/>
          <w:szCs w:val="24"/>
        </w:rPr>
        <w:t>Public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ORDER BY </w:t>
      </w:r>
      <w:r w:rsidRPr="00E657D0">
        <w:rPr>
          <w:rFonts w:ascii="ArialMT" w:cs="ArialMT"/>
          <w:color w:val="000000"/>
          <w:sz w:val="24"/>
          <w:szCs w:val="24"/>
        </w:rPr>
        <w:t>undergrad_enrollment</w:t>
      </w:r>
    </w:p>
    <w:p w:rsidR="00821750" w:rsidRPr="00E657D0" w:rsidRDefault="0082175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DESC </w:t>
      </w:r>
      <w:r w:rsidRPr="00E657D0">
        <w:rPr>
          <w:rFonts w:ascii="ArialMT" w:cs="ArialMT" w:hint="cs"/>
          <w:color w:val="000000"/>
          <w:sz w:val="24"/>
          <w:szCs w:val="24"/>
        </w:rPr>
        <w:t>;</w:t>
      </w:r>
    </w:p>
    <w:p w:rsid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An analysis like this not only lets you compare different s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tudents at the same school, but </w:t>
      </w:r>
      <w:r w:rsidRPr="00E657D0">
        <w:rPr>
          <w:rFonts w:ascii="ArialMT" w:cs="ArialMT"/>
          <w:color w:val="000000"/>
          <w:sz w:val="24"/>
          <w:szCs w:val="24"/>
        </w:rPr>
        <w:t>also different student types (say, low income) across scho</w:t>
      </w:r>
      <w:r w:rsidR="00190F9A" w:rsidRPr="00E657D0">
        <w:rPr>
          <w:rFonts w:ascii="ArialMT" w:cs="ArialMT"/>
          <w:color w:val="000000"/>
          <w:sz w:val="24"/>
          <w:szCs w:val="24"/>
        </w:rPr>
        <w:t xml:space="preserve">ols of similar size in the same </w:t>
      </w:r>
      <w:r w:rsidRPr="00E657D0">
        <w:rPr>
          <w:rFonts w:ascii="ArialMT" w:cs="ArialMT"/>
          <w:color w:val="000000"/>
          <w:sz w:val="24"/>
          <w:szCs w:val="24"/>
        </w:rPr>
        <w:t>state.</w:t>
      </w:r>
    </w:p>
    <w:p w:rsidR="00190F9A" w:rsidRPr="00E657D0" w:rsidRDefault="00190F9A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5. From there, you can start reporting out any trends or surprises you find in the data.</w:t>
      </w:r>
    </w:p>
    <w:p w:rsidR="007C11B1" w:rsidRPr="00E657D0" w:rsidRDefault="00C00697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hyperlink r:id="rId10" w:history="1">
        <w:r w:rsidR="007C11B1" w:rsidRPr="00E657D0">
          <w:rPr>
            <w:rStyle w:val="Hyperlink"/>
            <w:rFonts w:ascii="ArialMT" w:cs="ArialMT"/>
            <w:sz w:val="24"/>
            <w:szCs w:val="24"/>
          </w:rPr>
          <w:t>ProPublica offers a comprehensive guide</w:t>
        </w:r>
      </w:hyperlink>
      <w:r w:rsidR="007C11B1" w:rsidRPr="00E657D0">
        <w:rPr>
          <w:rFonts w:ascii="ArialMT" w:cs="ArialMT"/>
          <w:color w:val="1155CD"/>
          <w:sz w:val="24"/>
          <w:szCs w:val="24"/>
        </w:rPr>
        <w:t xml:space="preserve"> </w:t>
      </w:r>
      <w:r w:rsidR="007C11B1" w:rsidRPr="00E657D0">
        <w:rPr>
          <w:rFonts w:ascii="ArialMT" w:cs="ArialMT"/>
          <w:color w:val="000000"/>
          <w:sz w:val="24"/>
          <w:szCs w:val="24"/>
        </w:rPr>
        <w:t>to reporting out from the scorecard. Look at how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lastRenderedPageBreak/>
        <w:t>schools in your state are appropriating their (often constraining) budgets. For example:</w:t>
      </w:r>
    </w:p>
    <w:p w:rsid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Florida reduced i</w:t>
      </w:r>
      <w:r>
        <w:rPr>
          <w:rFonts w:ascii="ArialMT" w:cs="ArialMT"/>
          <w:color w:val="000000"/>
          <w:sz w:val="24"/>
          <w:szCs w:val="24"/>
        </w:rPr>
        <w:t xml:space="preserve">ts per-student </w:t>
      </w:r>
      <w:r w:rsidR="007C11B1" w:rsidRPr="00E657D0">
        <w:rPr>
          <w:rFonts w:ascii="ArialMT" w:cs="ArialMT"/>
          <w:color w:val="000000"/>
          <w:sz w:val="24"/>
          <w:szCs w:val="24"/>
        </w:rPr>
        <w:t>appropriations by 32 percent from fiscal year (FY) 2008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to FY 2014, and tuition rose 53 percent over that time period.16 At the same time, fewer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public institutions are helping make up the difference in costs for low</w:t>
      </w:r>
      <w:r>
        <w:rPr>
          <w:rFonts w:ascii="ArialMT" w:cs="ArialMT"/>
          <w:color w:val="000000"/>
          <w:sz w:val="24"/>
          <w:szCs w:val="24"/>
        </w:rPr>
        <w:t>-</w:t>
      </w:r>
      <w:r w:rsidR="007C11B1" w:rsidRPr="00E657D0">
        <w:rPr>
          <w:rFonts w:ascii="ArialMT" w:cs="ArialMT"/>
          <w:color w:val="000000"/>
          <w:sz w:val="24"/>
          <w:szCs w:val="24"/>
        </w:rPr>
        <w:t>income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students.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Many public colleges and universities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—</w:t>
      </w:r>
      <w:r>
        <w:rPr>
          <w:rFonts w:ascii="ArialMT" w:cs="ArialMT"/>
          <w:color w:val="000000"/>
          <w:sz w:val="24"/>
          <w:szCs w:val="24"/>
        </w:rPr>
        <w:t xml:space="preserve">including well-resourced </w:t>
      </w:r>
      <w:r w:rsidR="007C11B1" w:rsidRPr="00E657D0">
        <w:rPr>
          <w:rFonts w:ascii="ArialMT" w:cs="ArialMT"/>
          <w:color w:val="000000"/>
          <w:sz w:val="24"/>
          <w:szCs w:val="24"/>
        </w:rPr>
        <w:t>ones</w:t>
      </w:r>
      <w:r w:rsidR="007C11B1" w:rsidRPr="00E657D0">
        <w:rPr>
          <w:rFonts w:ascii="ArialMT" w:cs="ArialMT" w:hint="cs"/>
          <w:color w:val="000000"/>
          <w:sz w:val="24"/>
          <w:szCs w:val="24"/>
        </w:rPr>
        <w:t>—</w:t>
      </w:r>
      <w:r w:rsidR="007C11B1" w:rsidRPr="00E657D0">
        <w:rPr>
          <w:rFonts w:ascii="ArialMT" w:cs="ArialMT"/>
          <w:color w:val="000000"/>
          <w:sz w:val="24"/>
          <w:szCs w:val="24"/>
        </w:rPr>
        <w:t>are reacting to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budget constraints, contracting enrollment, and college rankings that emphasize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spending over outcomes by diverting their institutional aid to attract high</w:t>
      </w:r>
      <w:r>
        <w:rPr>
          <w:rFonts w:ascii="ArialMT" w:cs="ArialMT"/>
          <w:color w:val="000000"/>
          <w:sz w:val="24"/>
          <w:szCs w:val="24"/>
        </w:rPr>
        <w:t>-</w:t>
      </w:r>
      <w:r w:rsidR="007C11B1" w:rsidRPr="00E657D0">
        <w:rPr>
          <w:rFonts w:ascii="ArialMT" w:cs="ArialMT"/>
          <w:color w:val="000000"/>
          <w:sz w:val="24"/>
          <w:szCs w:val="24"/>
        </w:rPr>
        <w:t>performing</w:t>
      </w:r>
    </w:p>
    <w:p w:rsidR="007C11B1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 xml:space="preserve">        </w:t>
      </w:r>
      <w:r w:rsidR="007C11B1" w:rsidRPr="00E657D0">
        <w:rPr>
          <w:rFonts w:ascii="ArialMT" w:cs="ArialMT"/>
          <w:color w:val="000000"/>
          <w:sz w:val="24"/>
          <w:szCs w:val="24"/>
        </w:rPr>
        <w:t>students, which can drive up costs without improving quality. (Policy Paper 11)</w:t>
      </w:r>
    </w:p>
    <w:p w:rsid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What sort of programs do they prioritize? Many, you might learn, place a premium on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performance instead of accessibility, or completion instead of earnings. Understanding the</w:t>
      </w:r>
    </w:p>
    <w:p w:rsidR="007C11B1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mission of individual schools is important context for this data.</w:t>
      </w:r>
    </w:p>
    <w:p w:rsidR="00E657D0" w:rsidRPr="00E657D0" w:rsidRDefault="00E657D0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>6. In addition to the Policy Paper, there are also several studies that discuss the data</w:t>
      </w:r>
      <w:r w:rsidRPr="00E657D0">
        <w:rPr>
          <w:rFonts w:ascii="ArialMT" w:cs="ArialMT" w:hint="cs"/>
          <w:color w:val="000000"/>
          <w:sz w:val="24"/>
          <w:szCs w:val="24"/>
        </w:rPr>
        <w:t>’</w:t>
      </w:r>
      <w:r w:rsidRPr="00E657D0">
        <w:rPr>
          <w:rFonts w:ascii="ArialMT" w:cs="ArialMT"/>
          <w:color w:val="000000"/>
          <w:sz w:val="24"/>
          <w:szCs w:val="24"/>
        </w:rPr>
        <w:t>s</w:t>
      </w:r>
    </w:p>
    <w:p w:rsidR="007C11B1" w:rsidRPr="00E657D0" w:rsidRDefault="007C11B1" w:rsidP="007C11B1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E657D0">
        <w:rPr>
          <w:rFonts w:ascii="ArialMT" w:cs="ArialMT"/>
          <w:color w:val="000000"/>
          <w:sz w:val="24"/>
          <w:szCs w:val="24"/>
        </w:rPr>
        <w:t xml:space="preserve">implications, impetus and possible explanations for some of your questions. See </w:t>
      </w:r>
      <w:r w:rsidRPr="00E657D0">
        <w:rPr>
          <w:rFonts w:ascii="Arial-BoldMT" w:cs="Arial-BoldMT"/>
          <w:b/>
          <w:bCs/>
          <w:color w:val="000000"/>
          <w:sz w:val="24"/>
          <w:szCs w:val="24"/>
        </w:rPr>
        <w:t>page 81 of the</w:t>
      </w:r>
    </w:p>
    <w:p w:rsidR="006F226F" w:rsidRDefault="007C11B1" w:rsidP="007C11B1">
      <w:pPr>
        <w:spacing w:line="360" w:lineRule="auto"/>
        <w:rPr>
          <w:rFonts w:ascii="ArialMT" w:cs="ArialMT"/>
          <w:color w:val="000000"/>
          <w:sz w:val="24"/>
          <w:szCs w:val="24"/>
        </w:rPr>
      </w:pPr>
      <w:r w:rsidRPr="00E657D0">
        <w:rPr>
          <w:rFonts w:ascii="Arial-BoldMT" w:cs="Arial-BoldMT"/>
          <w:b/>
          <w:bCs/>
          <w:color w:val="000000"/>
          <w:sz w:val="24"/>
          <w:szCs w:val="24"/>
        </w:rPr>
        <w:t xml:space="preserve">Technical Paper </w:t>
      </w:r>
      <w:r w:rsidRPr="00E657D0">
        <w:rPr>
          <w:rFonts w:ascii="ArialMT" w:cs="ArialMT"/>
          <w:color w:val="000000"/>
          <w:sz w:val="24"/>
          <w:szCs w:val="24"/>
        </w:rPr>
        <w:t>for a list of those studies.</w:t>
      </w:r>
    </w:p>
    <w:p w:rsidR="008A7D17" w:rsidRDefault="008A7D17" w:rsidP="007C11B1">
      <w:pPr>
        <w:spacing w:line="360" w:lineRule="auto"/>
        <w:rPr>
          <w:rFonts w:ascii="ArialMT" w:cs="ArialMT"/>
          <w:color w:val="000000"/>
          <w:sz w:val="24"/>
          <w:szCs w:val="24"/>
        </w:rPr>
      </w:pPr>
    </w:p>
    <w:p w:rsidR="008A7D17" w:rsidRPr="00E657D0" w:rsidRDefault="008A7D17" w:rsidP="007C11B1">
      <w:pPr>
        <w:spacing w:line="360" w:lineRule="auto"/>
        <w:rPr>
          <w:sz w:val="24"/>
          <w:szCs w:val="24"/>
        </w:rPr>
      </w:pPr>
    </w:p>
    <w:sectPr w:rsidR="008A7D17" w:rsidRPr="00E65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97" w:rsidRDefault="00C00697" w:rsidP="00190F9A">
      <w:pPr>
        <w:spacing w:after="0" w:line="240" w:lineRule="auto"/>
      </w:pPr>
      <w:r>
        <w:separator/>
      </w:r>
    </w:p>
  </w:endnote>
  <w:endnote w:type="continuationSeparator" w:id="0">
    <w:p w:rsidR="00C00697" w:rsidRDefault="00C00697" w:rsidP="0019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97" w:rsidRDefault="00C00697" w:rsidP="00190F9A">
      <w:pPr>
        <w:spacing w:after="0" w:line="240" w:lineRule="auto"/>
      </w:pPr>
      <w:r>
        <w:separator/>
      </w:r>
    </w:p>
  </w:footnote>
  <w:footnote w:type="continuationSeparator" w:id="0">
    <w:p w:rsidR="00C00697" w:rsidRDefault="00C00697" w:rsidP="00190F9A">
      <w:pPr>
        <w:spacing w:after="0" w:line="240" w:lineRule="auto"/>
      </w:pPr>
      <w:r>
        <w:continuationSeparator/>
      </w:r>
    </w:p>
  </w:footnote>
  <w:footnote w:id="1">
    <w:p w:rsidR="006F226F" w:rsidRPr="008C2370" w:rsidRDefault="006F226F" w:rsidP="009C07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MT" w:cs="ArialMT"/>
          <w:sz w:val="12"/>
          <w:szCs w:val="12"/>
        </w:rPr>
        <w:t xml:space="preserve"> </w:t>
      </w:r>
      <w:r w:rsidRPr="008C2370">
        <w:rPr>
          <w:rFonts w:ascii="ArialMT" w:cs="ArialMT"/>
          <w:color w:val="000000"/>
          <w:sz w:val="24"/>
          <w:szCs w:val="24"/>
        </w:rPr>
        <w:t xml:space="preserve">As noted in the </w:t>
      </w:r>
      <w:r w:rsidRPr="008C2370">
        <w:rPr>
          <w:rFonts w:ascii="ArialMT" w:cs="ArialMT"/>
          <w:b/>
          <w:color w:val="000000"/>
          <w:sz w:val="24"/>
          <w:szCs w:val="24"/>
        </w:rPr>
        <w:t>NICAR Caveat Guide</w:t>
      </w:r>
      <w:r w:rsidRPr="008C2370">
        <w:rPr>
          <w:rFonts w:ascii="ArialMT" w:cs="ArialMT"/>
          <w:color w:val="000000"/>
          <w:sz w:val="24"/>
          <w:szCs w:val="24"/>
        </w:rPr>
        <w:t xml:space="preserve"> and </w:t>
      </w:r>
      <w:r w:rsidRPr="008C2370">
        <w:rPr>
          <w:rFonts w:ascii="ArialMT" w:cs="ArialMT"/>
          <w:b/>
          <w:color w:val="000000"/>
          <w:sz w:val="24"/>
          <w:szCs w:val="24"/>
        </w:rPr>
        <w:t>data documentation</w:t>
      </w:r>
      <w:r w:rsidRPr="008C2370">
        <w:rPr>
          <w:rFonts w:ascii="ArialMT" w:cs="ArialMT"/>
          <w:color w:val="000000"/>
          <w:sz w:val="24"/>
          <w:szCs w:val="24"/>
        </w:rPr>
        <w:t>: While</w:t>
      </w:r>
      <w:r>
        <w:rPr>
          <w:rFonts w:ascii="ArialMT" w:cs="ArialMT"/>
          <w:color w:val="000000"/>
          <w:sz w:val="24"/>
          <w:szCs w:val="24"/>
        </w:rPr>
        <w:t xml:space="preserve"> some schools report these data </w:t>
      </w:r>
      <w:r w:rsidRPr="008C2370">
        <w:rPr>
          <w:rFonts w:ascii="ArialMT" w:cs="ArialMT"/>
          <w:color w:val="000000"/>
          <w:sz w:val="24"/>
          <w:szCs w:val="24"/>
        </w:rPr>
        <w:t>at the campus level (8digit OPE ID), data produced for this site are rolled up t</w:t>
      </w:r>
      <w:r>
        <w:rPr>
          <w:rFonts w:ascii="ArialMT" w:cs="ArialMT"/>
          <w:color w:val="000000"/>
          <w:sz w:val="24"/>
          <w:szCs w:val="24"/>
        </w:rPr>
        <w:t xml:space="preserve">o the institution level (6digit </w:t>
      </w:r>
      <w:r w:rsidRPr="008C2370">
        <w:rPr>
          <w:rFonts w:ascii="ArialMT" w:cs="ArialMT"/>
          <w:color w:val="000000"/>
          <w:sz w:val="24"/>
          <w:szCs w:val="24"/>
        </w:rPr>
        <w:t xml:space="preserve">OPE ID). In these cases, IPEDS institutions sharing a common 6digit </w:t>
      </w:r>
      <w:r>
        <w:rPr>
          <w:rFonts w:ascii="ArialMT" w:cs="ArialMT"/>
          <w:color w:val="000000"/>
          <w:sz w:val="24"/>
          <w:szCs w:val="24"/>
        </w:rPr>
        <w:t xml:space="preserve">OPEID are all assigned the </w:t>
      </w:r>
      <w:r w:rsidRPr="008C2370">
        <w:rPr>
          <w:rFonts w:ascii="ArialMT" w:cs="ArialMT"/>
          <w:color w:val="000000"/>
          <w:sz w:val="24"/>
          <w:szCs w:val="24"/>
        </w:rPr>
        <w:t>(student</w:t>
      </w:r>
      <w:r>
        <w:rPr>
          <w:rFonts w:ascii="ArialMT" w:cs="ArialMT"/>
          <w:color w:val="000000"/>
          <w:sz w:val="24"/>
          <w:szCs w:val="24"/>
        </w:rPr>
        <w:t>-</w:t>
      </w:r>
      <w:r w:rsidRPr="008C2370">
        <w:rPr>
          <w:rFonts w:ascii="ArialMT" w:cs="ArialMT"/>
          <w:color w:val="000000"/>
          <w:sz w:val="24"/>
          <w:szCs w:val="24"/>
        </w:rPr>
        <w:t xml:space="preserve">weighted) average outcome or median outcome for students across </w:t>
      </w:r>
      <w:r>
        <w:rPr>
          <w:rFonts w:ascii="ArialMT" w:cs="ArialMT"/>
          <w:color w:val="000000"/>
          <w:sz w:val="24"/>
          <w:szCs w:val="24"/>
        </w:rPr>
        <w:t xml:space="preserve">all branches of the institution </w:t>
      </w:r>
      <w:r w:rsidRPr="008C2370">
        <w:rPr>
          <w:rFonts w:ascii="ArialMT" w:cs="ArialMT"/>
          <w:color w:val="000000"/>
          <w:sz w:val="24"/>
          <w:szCs w:val="24"/>
        </w:rPr>
        <w:t>for NSLDS or tax-data derived measures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F226F" w:rsidRDefault="006F226F">
      <w:pPr>
        <w:pStyle w:val="FootnoteText"/>
      </w:pPr>
    </w:p>
  </w:footnote>
  <w:footnote w:id="2">
    <w:p w:rsidR="006F226F" w:rsidRPr="00E657D0" w:rsidRDefault="006F226F" w:rsidP="00F83EC0">
      <w:pPr>
        <w:autoSpaceDE w:val="0"/>
        <w:autoSpaceDN w:val="0"/>
        <w:adjustRightInd w:val="0"/>
        <w:spacing w:after="0" w:line="360" w:lineRule="auto"/>
        <w:rPr>
          <w:rFonts w:ascii="ArialMT" w:cs="ArialMT"/>
          <w:color w:val="000000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E657D0">
        <w:rPr>
          <w:rFonts w:ascii="ArialMT" w:cs="ArialMT"/>
          <w:color w:val="000000"/>
          <w:sz w:val="24"/>
          <w:szCs w:val="24"/>
        </w:rPr>
        <w:t xml:space="preserve">From </w:t>
      </w:r>
      <w:hyperlink r:id="rId1" w:history="1">
        <w:r w:rsidRPr="00E657D0">
          <w:rPr>
            <w:rStyle w:val="Hyperlink"/>
            <w:rFonts w:ascii="ArialMT" w:cs="ArialMT"/>
            <w:sz w:val="24"/>
            <w:szCs w:val="24"/>
          </w:rPr>
          <w:t>ProPublica</w:t>
        </w:r>
        <w:r w:rsidRPr="00E657D0">
          <w:rPr>
            <w:rStyle w:val="Hyperlink"/>
            <w:rFonts w:ascii="ArialMT" w:cs="ArialMT" w:hint="cs"/>
            <w:sz w:val="24"/>
            <w:szCs w:val="24"/>
          </w:rPr>
          <w:t>’</w:t>
        </w:r>
        <w:r w:rsidRPr="00E657D0">
          <w:rPr>
            <w:rStyle w:val="Hyperlink"/>
            <w:rFonts w:ascii="ArialMT" w:cs="ArialMT"/>
            <w:sz w:val="24"/>
            <w:szCs w:val="24"/>
          </w:rPr>
          <w:t xml:space="preserve">s Debt by Degrees, </w:t>
        </w:r>
        <w:r w:rsidRPr="00E657D0">
          <w:rPr>
            <w:rStyle w:val="Hyperlink"/>
            <w:rFonts w:ascii="ArialMT" w:cs="ArialMT" w:hint="cs"/>
            <w:sz w:val="24"/>
            <w:szCs w:val="24"/>
          </w:rPr>
          <w:t>“</w:t>
        </w:r>
        <w:r w:rsidRPr="00E657D0">
          <w:rPr>
            <w:rStyle w:val="Hyperlink"/>
            <w:rFonts w:ascii="ArialMT" w:cs="ArialMT"/>
            <w:sz w:val="24"/>
            <w:szCs w:val="24"/>
          </w:rPr>
          <w:t>Behind the Data</w:t>
        </w:r>
        <w:r w:rsidRPr="00E657D0">
          <w:rPr>
            <w:rStyle w:val="Hyperlink"/>
            <w:rFonts w:ascii="ArialMT" w:cs="ArialMT" w:hint="cs"/>
            <w:sz w:val="24"/>
            <w:szCs w:val="24"/>
          </w:rPr>
          <w:t>”</w:t>
        </w:r>
        <w:r w:rsidRPr="00E657D0">
          <w:rPr>
            <w:rStyle w:val="Hyperlink"/>
            <w:rFonts w:ascii="ArialMT" w:cs="ArialMT"/>
            <w:sz w:val="24"/>
            <w:szCs w:val="24"/>
          </w:rPr>
          <w:t>:</w:t>
        </w:r>
      </w:hyperlink>
      <w:r w:rsidRPr="00E657D0">
        <w:rPr>
          <w:rFonts w:ascii="ArialMT" w:cs="ArialMT"/>
          <w:color w:val="1155CD"/>
          <w:sz w:val="24"/>
          <w:szCs w:val="24"/>
        </w:rPr>
        <w:t xml:space="preserve"> </w:t>
      </w:r>
      <w:r w:rsidRPr="00E657D0">
        <w:rPr>
          <w:rFonts w:ascii="ArialMT" w:cs="ArialMT" w:hint="cs"/>
          <w:color w:val="000000"/>
          <w:sz w:val="24"/>
          <w:szCs w:val="24"/>
        </w:rPr>
        <w:t>“</w:t>
      </w:r>
      <w:r w:rsidRPr="00E657D0">
        <w:rPr>
          <w:rFonts w:ascii="ArialMT" w:cs="ArialMT"/>
          <w:color w:val="000000"/>
          <w:sz w:val="24"/>
          <w:szCs w:val="24"/>
        </w:rPr>
        <w:t>The cohort defaul</w:t>
      </w:r>
      <w:r>
        <w:rPr>
          <w:rFonts w:ascii="ArialMT" w:cs="ArialMT"/>
          <w:color w:val="000000"/>
          <w:sz w:val="24"/>
          <w:szCs w:val="24"/>
        </w:rPr>
        <w:t xml:space="preserve">t rate has long been used as an </w:t>
      </w:r>
      <w:r w:rsidRPr="00E657D0">
        <w:rPr>
          <w:rFonts w:ascii="ArialMT" w:cs="ArialMT"/>
          <w:color w:val="000000"/>
          <w:sz w:val="24"/>
          <w:szCs w:val="24"/>
        </w:rPr>
        <w:t>indicator of how well students are able to pay off their loans after graduat</w:t>
      </w:r>
      <w:r>
        <w:rPr>
          <w:rFonts w:ascii="ArialMT" w:cs="ArialMT"/>
          <w:color w:val="000000"/>
          <w:sz w:val="24"/>
          <w:szCs w:val="24"/>
        </w:rPr>
        <w:t xml:space="preserve">ion. But schools can manipulate </w:t>
      </w:r>
      <w:r w:rsidRPr="00E657D0">
        <w:rPr>
          <w:rFonts w:ascii="ArialMT" w:cs="ArialMT"/>
          <w:color w:val="000000"/>
          <w:sz w:val="24"/>
          <w:szCs w:val="24"/>
        </w:rPr>
        <w:t>this rate by pushing their students into deferment or forbearance. The repayment ra</w:t>
      </w:r>
      <w:r>
        <w:rPr>
          <w:rFonts w:ascii="ArialMT" w:cs="ArialMT"/>
          <w:color w:val="000000"/>
          <w:sz w:val="24"/>
          <w:szCs w:val="24"/>
        </w:rPr>
        <w:t xml:space="preserve">te ... is a better indicator </w:t>
      </w:r>
      <w:r w:rsidRPr="00E657D0">
        <w:rPr>
          <w:rFonts w:ascii="ArialMT" w:cs="ArialMT"/>
          <w:color w:val="000000"/>
          <w:sz w:val="24"/>
          <w:szCs w:val="24"/>
        </w:rPr>
        <w:t xml:space="preserve">of how many students are struggling to pay off their student debt, as </w:t>
      </w:r>
      <w:r>
        <w:rPr>
          <w:rFonts w:ascii="ArialMT" w:cs="ArialMT"/>
          <w:color w:val="000000"/>
          <w:sz w:val="24"/>
          <w:szCs w:val="24"/>
        </w:rPr>
        <w:t xml:space="preserve">it includes default, deferment, </w:t>
      </w:r>
      <w:r w:rsidRPr="00E657D0">
        <w:rPr>
          <w:rFonts w:ascii="ArialMT" w:cs="ArialMT"/>
          <w:color w:val="000000"/>
          <w:sz w:val="24"/>
          <w:szCs w:val="24"/>
        </w:rPr>
        <w:t>forbearance, as well as students who are unable to start paying off the interest on their debt.</w:t>
      </w:r>
      <w:r w:rsidRPr="00E657D0">
        <w:rPr>
          <w:rFonts w:ascii="ArialMT" w:cs="ArialMT" w:hint="cs"/>
          <w:color w:val="000000"/>
          <w:sz w:val="24"/>
          <w:szCs w:val="24"/>
        </w:rPr>
        <w:t>”</w:t>
      </w:r>
    </w:p>
    <w:p w:rsidR="006F226F" w:rsidRDefault="006F226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9D7"/>
    <w:multiLevelType w:val="hybridMultilevel"/>
    <w:tmpl w:val="AEC2E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1BAA"/>
    <w:multiLevelType w:val="hybridMultilevel"/>
    <w:tmpl w:val="4B4E5B4A"/>
    <w:lvl w:ilvl="0" w:tplc="8AA8C8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F1C"/>
    <w:multiLevelType w:val="hybridMultilevel"/>
    <w:tmpl w:val="BDEA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83F20"/>
    <w:multiLevelType w:val="hybridMultilevel"/>
    <w:tmpl w:val="27C65658"/>
    <w:lvl w:ilvl="0" w:tplc="7974C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00851"/>
    <w:multiLevelType w:val="hybridMultilevel"/>
    <w:tmpl w:val="314EEF9C"/>
    <w:lvl w:ilvl="0" w:tplc="C9CE7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9D"/>
    <w:rsid w:val="00047DB5"/>
    <w:rsid w:val="000663AD"/>
    <w:rsid w:val="000835BF"/>
    <w:rsid w:val="000A6530"/>
    <w:rsid w:val="00116324"/>
    <w:rsid w:val="00190F9A"/>
    <w:rsid w:val="002718B8"/>
    <w:rsid w:val="00330671"/>
    <w:rsid w:val="00373727"/>
    <w:rsid w:val="003A5521"/>
    <w:rsid w:val="00466849"/>
    <w:rsid w:val="006F226F"/>
    <w:rsid w:val="007056A9"/>
    <w:rsid w:val="00734D67"/>
    <w:rsid w:val="007A2BAA"/>
    <w:rsid w:val="007A5605"/>
    <w:rsid w:val="007B509C"/>
    <w:rsid w:val="007C11B1"/>
    <w:rsid w:val="00821750"/>
    <w:rsid w:val="00885A99"/>
    <w:rsid w:val="008A7D17"/>
    <w:rsid w:val="008C2370"/>
    <w:rsid w:val="00916375"/>
    <w:rsid w:val="009B285A"/>
    <w:rsid w:val="009C079D"/>
    <w:rsid w:val="00A90E36"/>
    <w:rsid w:val="00AE4310"/>
    <w:rsid w:val="00B36562"/>
    <w:rsid w:val="00C00697"/>
    <w:rsid w:val="00C23878"/>
    <w:rsid w:val="00CB1E0F"/>
    <w:rsid w:val="00CC3CCC"/>
    <w:rsid w:val="00D907DD"/>
    <w:rsid w:val="00DC028E"/>
    <w:rsid w:val="00DE07CD"/>
    <w:rsid w:val="00E61D25"/>
    <w:rsid w:val="00E657D0"/>
    <w:rsid w:val="00ED5D6F"/>
    <w:rsid w:val="00ED6A34"/>
    <w:rsid w:val="00F200A6"/>
    <w:rsid w:val="00F83EC0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A3D83-F8D0-4758-86DF-CF7F2D5A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9A"/>
  </w:style>
  <w:style w:type="paragraph" w:styleId="Footer">
    <w:name w:val="footer"/>
    <w:basedOn w:val="Normal"/>
    <w:link w:val="FooterChar"/>
    <w:uiPriority w:val="99"/>
    <w:unhideWhenUsed/>
    <w:rsid w:val="0019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9A"/>
  </w:style>
  <w:style w:type="character" w:styleId="Hyperlink">
    <w:name w:val="Hyperlink"/>
    <w:basedOn w:val="DefaultParagraphFont"/>
    <w:uiPriority w:val="99"/>
    <w:unhideWhenUsed/>
    <w:rsid w:val="00E657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6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07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7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79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D6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ublica.org/article/colleges-flush-with-cash-saddle-poorest-students-with-de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opublica.org/article/reporting-recipe-how-to-investigate-student-debt-at-your-coll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j.com/articles/student-debt-payback-lags-144218998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ublica.org/article/reporting-recipe-how-to-investigate-student-debt-at-your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2E2B-75CD-4792-A302-A9E0DF56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Chen (Student)</dc:creator>
  <cp:keywords/>
  <dc:description/>
  <cp:lastModifiedBy>Herzog, David</cp:lastModifiedBy>
  <cp:revision>13</cp:revision>
  <dcterms:created xsi:type="dcterms:W3CDTF">2017-02-10T16:42:00Z</dcterms:created>
  <dcterms:modified xsi:type="dcterms:W3CDTF">2017-02-10T19:50:00Z</dcterms:modified>
</cp:coreProperties>
</file>